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9a74e6c614a19" /></Relationships>
</file>

<file path=word/document.xml><?xml version="1.0" encoding="utf-8"?>
<w:document xmlns:w="http://schemas.openxmlformats.org/wordprocessingml/2006/main">
  <w:body>
    <w:p>
      <w:r>
        <w:t>S-5273.1</w:t>
      </w:r>
    </w:p>
    <w:p>
      <w:pPr>
        <w:jc w:val="center"/>
      </w:pPr>
      <w:r>
        <w:t>_______________________________________________</w:t>
      </w:r>
    </w:p>
    <w:p/>
    <w:p>
      <w:pPr>
        <w:jc w:val="center"/>
      </w:pPr>
      <w:r>
        <w:rPr>
          <w:b/>
        </w:rPr>
        <w:t>SENATE BILL 6390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Fortunato, Rivers, Wilson, L., Ericksen, and Becker</w:t>
      </w:r>
    </w:p>
    <w:p/>
    <w:p>
      <w:r>
        <w:rPr>
          <w:t xml:space="preserve">Read first time 01/16/20.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nonprofit and library fund-raising exemption permanent; amending RCW 82.12.225;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citizen commission for performance measurement of tax preferences recommended continuing the use tax exemption for individuals who win items at nonprofit or library fund-raising events, finding that the preference was meeting the legislature's objectives and that it allowed nonprofits and libraries to avoid the administrative burdens and decreased donations associated with collecting and reporting use tax at fund-raising events. In light of these findings, the legislature intends to make this exemption permanent.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2015 3rd sp.s. c 32 s 2 are each amended to read as follows:</w:t>
      </w:r>
    </w:p>
    <w:p>
      <w:pPr>
        <w:spacing w:before="0" w:after="0" w:line="408" w:lineRule="exact"/>
        <w:ind w:left="0" w:right="0" w:firstLine="576"/>
        <w:jc w:val="left"/>
      </w:pPr>
      <w:r>
        <w:t>((</w:t>
      </w:r>
      <w:r>
        <w:rPr>
          <w:strike/>
        </w:rPr>
        <w:t xml:space="preserve">(1)</w:t>
      </w:r>
      <w:r>
        <w:t>))</w:t>
      </w:r>
      <w:r>
        <w:rPr/>
        <w:t xml:space="preserve"> The provisions of this chapter do not apply in respect to the use of any article of personal property, valued at less than twelve thousand dollars,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d345b066cd5e48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0718166b74c5b" /><Relationship Type="http://schemas.openxmlformats.org/officeDocument/2006/relationships/footer" Target="/word/footer1.xml" Id="Rd345b066cd5e4854" /></Relationships>
</file>