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3991292414d06" /></Relationships>
</file>

<file path=word/document.xml><?xml version="1.0" encoding="utf-8"?>
<w:document xmlns:w="http://schemas.openxmlformats.org/wordprocessingml/2006/main">
  <w:body>
    <w:p>
      <w:r>
        <w:t>S-5377.1</w:t>
      </w:r>
    </w:p>
    <w:p>
      <w:pPr>
        <w:jc w:val="center"/>
      </w:pPr>
      <w:r>
        <w:t>_______________________________________________</w:t>
      </w:r>
    </w:p>
    <w:p/>
    <w:p>
      <w:pPr>
        <w:jc w:val="center"/>
      </w:pPr>
      <w:r>
        <w:rPr>
          <w:b/>
        </w:rPr>
        <w:t>SENATE BILL 6408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L., Mullet, Short, Becker, Takko, King, Zeiger, Brown, Schoesler, Frockt, Hasegawa, Rolfes, Honeyford, Walsh, Van De Wege, and Braun</w:t>
      </w:r>
    </w:p>
    <w:p/>
    <w:p>
      <w:r>
        <w:rPr>
          <w:t xml:space="preserve">Read first time 01/16/20.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responsibilities to regulated businesses and professions; adding a new chapter to Title 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Whether advance notice for an audit, inspection, or examination will be provided, and if applicable, the basis for not providing advance notice;</w:t>
      </w:r>
    </w:p>
    <w:p>
      <w:pPr>
        <w:spacing w:before="0" w:after="0" w:line="408" w:lineRule="exact"/>
        <w:ind w:left="0" w:right="0" w:firstLine="576"/>
        <w:jc w:val="left"/>
      </w:pPr>
      <w:r>
        <w:rPr/>
        <w:t xml:space="preserve">(c) The responsibility of the auditor, inspector, or examiner to present identification during the audit, inspection, or examination;</w:t>
      </w:r>
    </w:p>
    <w:p>
      <w:pPr>
        <w:spacing w:before="0" w:after="0" w:line="408" w:lineRule="exact"/>
        <w:ind w:left="0" w:right="0" w:firstLine="576"/>
        <w:jc w:val="left"/>
      </w:pPr>
      <w:r>
        <w:rPr/>
        <w:t xml:space="preserve">(d) The responsibility of an auditor, inspector, or examiner to provide contact information for a staff person who is available to answer questions regarding the audit, inspection, or examination;</w:t>
      </w:r>
    </w:p>
    <w:p>
      <w:pPr>
        <w:spacing w:before="0" w:after="0" w:line="408" w:lineRule="exact"/>
        <w:ind w:left="0" w:right="0" w:firstLine="576"/>
        <w:jc w:val="left"/>
      </w:pPr>
      <w:r>
        <w:rPr/>
        <w:t xml:space="preserve">(e) Whether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past agency advice or interpretations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How the business may respond to the outcome of an audit, inspection, or examination, what the next steps are in the process,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any criminal investigations or proceedings, or to an agency's undercover, surveillance, or seizure activities; or</w:t>
      </w:r>
    </w:p>
    <w:p>
      <w:pPr>
        <w:spacing w:before="0" w:after="0" w:line="408" w:lineRule="exact"/>
        <w:ind w:left="0" w:right="0" w:firstLine="576"/>
        <w:jc w:val="left"/>
      </w:pPr>
      <w:r>
        <w:rPr/>
        <w:t xml:space="preserve">(c)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and "regulatory agency" have the same meaning as in RCW 19.02.020, but "regulatory agency" does not include any local government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chapter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2c1eeabd26c54d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b16f41cd84a76" /><Relationship Type="http://schemas.openxmlformats.org/officeDocument/2006/relationships/footer" Target="/word/footer1.xml" Id="R2c1eeabd26c54db1" /></Relationships>
</file>