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02507e268147f0" /></Relationships>
</file>

<file path=word/document.xml><?xml version="1.0" encoding="utf-8"?>
<w:document xmlns:w="http://schemas.openxmlformats.org/wordprocessingml/2006/main">
  <w:body>
    <w:p>
      <w:r>
        <w:t>S-5345.3</w:t>
      </w:r>
    </w:p>
    <w:p>
      <w:pPr>
        <w:jc w:val="center"/>
      </w:pPr>
      <w:r>
        <w:t>_______________________________________________</w:t>
      </w:r>
    </w:p>
    <w:p/>
    <w:p>
      <w:pPr>
        <w:jc w:val="center"/>
      </w:pPr>
      <w:r>
        <w:rPr>
          <w:b/>
        </w:rPr>
        <w:t>SENATE BILL 6492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Rolfes, and Wilson, C.</w:t>
      </w:r>
    </w:p>
    <w:p/>
    <w:p>
      <w:r>
        <w:rPr>
          <w:t xml:space="preserve">Read first time 01/20/20.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education investment funding through business and occupation tax reform; amending RCW 28C.18.200, 43.79.195, 82.04.290, and 82.04.4451; reenacting and amending RCW 82.32.045; creating new sections; repealing RCW 82.04.299;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w:t>
      </w:r>
      <w:r>
        <w:t>((</w:t>
      </w:r>
      <w:r>
        <w:rPr>
          <w:strike/>
        </w:rPr>
        <w:t xml:space="preserve">described in RCW 82.04.299</w:t>
      </w:r>
      <w:r>
        <w:t>))</w:t>
      </w:r>
      <w:r>
        <w:rPr/>
        <w:t xml:space="preserve"> </w:t>
      </w:r>
      <w:r>
        <w:rPr>
          <w:u w:val="single"/>
        </w:rPr>
        <w:t xml:space="preserve">that are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w:t>
      </w:r>
      <w:r>
        <w:t>((</w:t>
      </w:r>
      <w:r>
        <w:rPr>
          <w:strike/>
        </w:rPr>
        <w:t xml:space="preserve">described in RCW 82.04.299</w:t>
      </w:r>
      <w:r>
        <w:t>))</w:t>
      </w:r>
      <w:r>
        <w:rPr/>
        <w:t xml:space="preserve"> </w:t>
      </w:r>
      <w:r>
        <w:rPr>
          <w:u w:val="single"/>
        </w:rPr>
        <w:t xml:space="preserve">that are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w:t>
      </w:r>
      <w:r>
        <w:t>((</w:t>
      </w:r>
      <w:r>
        <w:rPr>
          <w:strike/>
        </w:rPr>
        <w:t xml:space="preserve">from the workforce investment surcharges created in RCW 82.04.299</w:t>
      </w:r>
      <w:r>
        <w:t>))</w:t>
      </w:r>
      <w:r>
        <w:rPr/>
        <w:t xml:space="preserve"> </w:t>
      </w:r>
      <w:r>
        <w:rPr>
          <w:u w:val="single"/>
        </w:rPr>
        <w:t xml:space="preserve">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1.8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(B) Hospitals as defined in RCW 70.41.020, including any hospital that comes within the scope of chapter 71.12 RCW if the hospital is also licensed under chapter 70.41 RCW. This subsection (2)(a)(ii)(B)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Sixteen and seven-tenths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determines that a person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preceding four calendar years, except for any calendar year prior to 2020, and except for reporting periods prior to April 1, 2020.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w:t>
      </w:r>
    </w:p>
    <w:p>
      <w:pPr>
        <w:spacing w:before="0" w:after="0" w:line="408" w:lineRule="exact"/>
        <w:ind w:left="0" w:right="0" w:firstLine="576"/>
        <w:jc w:val="left"/>
      </w:pPr>
      <w:r>
        <w:rPr>
          <w:u w:val="single"/>
        </w:rPr>
        <w:t xml:space="preserve">(e) For purposes of this subsection (2), the definitions in this subsection (2)(e)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(Workforce education investment surcharges) and 2019 c 406 s 74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fifty percent of their taxable amount under RCW 82.04.255, 82.04.290(2)(a), and 82.04.285, the maximum credit for a taxpayer for a reporting period is </w:t>
      </w:r>
      <w:r>
        <w:t>((</w:t>
      </w:r>
      <w:r>
        <w:rPr>
          <w:strike/>
        </w:rPr>
        <w:t xml:space="preserve">thirty-five</w:t>
      </w:r>
      <w:r>
        <w:t>))</w:t>
      </w:r>
      <w:r>
        <w:rPr/>
        <w:t xml:space="preserve"> </w:t>
      </w:r>
      <w:r>
        <w:rPr>
          <w:u w:val="single"/>
        </w:rPr>
        <w:t xml:space="preserve">sixty</w:t>
      </w:r>
      <w:r>
        <w:rPr/>
        <w:t xml:space="preserve"> dollars multiplied by the number of months in the reporting period, as determined under RCW 82.32.045. For a taxpayer that reports at least fifty percent of its taxable amount under RCW 82.04.255, 82.04.290(2)(a), and 82.04.285, the maximum credit for a reporting period is </w:t>
      </w:r>
      <w:r>
        <w:t>((</w:t>
      </w:r>
      <w:r>
        <w:rPr>
          <w:strike/>
        </w:rPr>
        <w:t xml:space="preserve">seventy</w:t>
      </w:r>
      <w:r>
        <w:t>))</w:t>
      </w:r>
      <w:r>
        <w:rPr/>
        <w:t xml:space="preserve"> </w:t>
      </w:r>
      <w:r>
        <w:rPr>
          <w:u w:val="single"/>
        </w:rPr>
        <w:t xml:space="preserve">one hundred twenty-five</w:t>
      </w:r>
      <w:r>
        <w:rPr/>
        <w:t xml:space="preserve"> dollars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Fifty</w:t>
      </w:r>
      <w:r>
        <w:rPr/>
        <w:t xml:space="preserve"> thousand dollars per year; or</w:t>
      </w:r>
    </w:p>
    <w:p>
      <w:pPr>
        <w:spacing w:before="0" w:after="0" w:line="408" w:lineRule="exact"/>
        <w:ind w:left="0" w:right="0" w:firstLine="576"/>
        <w:jc w:val="left"/>
      </w:pPr>
      <w:r>
        <w:rPr/>
        <w:t xml:space="preserve">(ii) </w:t>
      </w:r>
      <w:r>
        <w:t>((</w:t>
      </w:r>
      <w:r>
        <w:rPr>
          <w:strike/>
        </w:rPr>
        <w:t xml:space="preserve">Forty-six</w:t>
      </w:r>
      <w:r>
        <w:t>))</w:t>
      </w:r>
      <w:r>
        <w:rPr/>
        <w:t xml:space="preserve"> </w:t>
      </w:r>
      <w:r>
        <w:rPr>
          <w:u w:val="single"/>
        </w:rPr>
        <w:t xml:space="preserve">One hundred</w:t>
      </w:r>
      <w:r>
        <w:rPr/>
        <w:t xml:space="preserve">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0" w:after="0" w:line="408" w:lineRule="exact"/>
        <w:ind w:left="0" w:right="0" w:firstLine="576"/>
        <w:jc w:val="left"/>
      </w:pPr>
      <w:r>
        <w:rPr/>
        <w:t xml:space="preserve">(3) Sections 5 and 6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
      <w:pPr>
        <w:jc w:val="center"/>
      </w:pPr>
      <w:r>
        <w:rPr>
          <w:b/>
        </w:rPr>
        <w:t>--- END ---</w:t>
      </w:r>
    </w:p>
    <w:sectPr>
      <w:pgNumType w:start="1"/>
      <w:footerReference xmlns:r="http://schemas.openxmlformats.org/officeDocument/2006/relationships" r:id="Rcfd46ed824ac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370258a9a4911" /><Relationship Type="http://schemas.openxmlformats.org/officeDocument/2006/relationships/footer" Target="/word/footer1.xml" Id="Rcfd46ed824ac47d3" /></Relationships>
</file>