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151fd181d482f" /></Relationships>
</file>

<file path=word/document.xml><?xml version="1.0" encoding="utf-8"?>
<w:document xmlns:w="http://schemas.openxmlformats.org/wordprocessingml/2006/main">
  <w:body>
    <w:p>
      <w:r>
        <w:t>S-5384.1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 Padden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unlawful disposition of human remains; amending RCW 68.50.130;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68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130</w:t>
      </w:r>
      <w:r>
        <w:rPr/>
        <w:t xml:space="preserve"> and 2019 c 432 s 21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Every person who performs a disposition of any human remains, except as otherwise provided by law, in any place, except in a cemetery or a building dedicated exclusively for religious purposes, is guilty of a </w:t>
      </w:r>
      <w:r>
        <w:t>((</w:t>
      </w:r>
      <w:r>
        <w:rPr>
          <w:strike/>
        </w:rPr>
        <w:t xml:space="preserve">misdemeanor</w:t>
      </w:r>
      <w:r>
        <w:t>))</w:t>
      </w:r>
      <w:r>
        <w:rPr/>
        <w:t xml:space="preserve"> </w:t>
      </w:r>
      <w:r>
        <w:rPr>
          <w:u w:val="single"/>
        </w:rPr>
        <w:t xml:space="preserve">class C felony</w:t>
      </w:r>
      <w:r>
        <w:rPr/>
        <w:t xml:space="preserve">. Disposition of human remains following cremation, alkaline hydrolysis, or natural organic reduction may also occur on private property, with the consent of the property owner; and on public or government lands or waters with the approval of the government agency that has either jurisdiction or control, or both, of the lands or waters.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7b0b923cd43426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0a56389394dfc" /><Relationship Type="http://schemas.openxmlformats.org/officeDocument/2006/relationships/footer" Target="/word/footer1.xml" Id="R87b0b923cd434265" /></Relationships>
</file>