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23635769642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6515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Van De Wege, Randall, Mullet, Takko, Lovelett, Liias, Conway, Hasegawa,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facilities; amending RCW 18.51.091, 18.51.230, 74.42.360, and 74.46.561; adding a new section to chapter 74.46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w:t>
      </w:r>
      <w:r>
        <w:rPr>
          <w:u w:val="single"/>
        </w:rPr>
        <w:t xml:space="preserve">s</w:t>
      </w:r>
      <w:r>
        <w:rPr/>
        <w:t xml:space="preserve">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By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w:t>
      </w:r>
      <w:r>
        <w:rPr>
          <w:u w:val="single"/>
        </w:rPr>
        <w:t xml:space="preserve">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w:t>
      </w:r>
      <w:r>
        <w:t>((</w:t>
      </w:r>
      <w:r>
        <w:rPr>
          <w:strike/>
        </w:rPr>
        <w:t xml:space="preserve">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effective May 1, 2020, or the month following the effective date of this section, whichever comes last, through June 30, 2020, using 2018 calendar year cost report information.</w:t>
      </w:r>
    </w:p>
    <w:p>
      <w:pPr>
        <w:spacing w:before="0" w:after="0" w:line="408" w:lineRule="exact"/>
        <w:ind w:left="0" w:right="0" w:firstLine="576"/>
        <w:jc w:val="left"/>
      </w:pPr>
      <w:r>
        <w:rPr>
          <w:u w:val="single"/>
        </w:rPr>
        <w:t xml:space="preserve">(b) Beginning July 1, 2020, the direct care and indirect care components must be rebased annually. Rates paid shall be established using the most recent adjusted cost report information available. The most recent adjusted cost report information shall be the base year costs.</w:t>
      </w:r>
    </w:p>
    <w:p>
      <w:pPr>
        <w:spacing w:before="0" w:after="0" w:line="408" w:lineRule="exact"/>
        <w:ind w:left="0" w:right="0" w:firstLine="576"/>
        <w:jc w:val="left"/>
      </w:pPr>
      <w:r>
        <w:rPr>
          <w:u w:val="single"/>
        </w:rPr>
        <w:t xml:space="preserve">(c) Beginning July 1, 2020, and annually through June 30, 2023, the department shall modify the direct and indirect care rebased components from the midpoint of the base year to the beginning of the rate year using the most recent calendar year twelve-month average consumer price index for all urban consumers (CPI-U) in the medical expenditure category of nursing homes and adult day services as published by the United States bureau of labor statistics.</w:t>
      </w:r>
    </w:p>
    <w:p>
      <w:pPr>
        <w:spacing w:before="0" w:after="0" w:line="408" w:lineRule="exact"/>
        <w:ind w:left="0" w:right="0" w:firstLine="576"/>
        <w:jc w:val="left"/>
      </w:pPr>
      <w:r>
        <w:rPr>
          <w:u w:val="single"/>
        </w:rPr>
        <w:t xml:space="preserve">(d) Beginning July 1, 2020, the indirect care inflationary rate increase from (c) of this subsection (8) shall be distributed according to the facility's number of outpatient emergency department visits per one thousand long-stay resident days using the centers for medicare and medicaid services' five-star quality rating data as the source of measurement.</w:t>
      </w:r>
    </w:p>
    <w:p>
      <w:pPr>
        <w:spacing w:before="0" w:after="0" w:line="408" w:lineRule="exact"/>
        <w:ind w:left="0" w:right="0" w:firstLine="576"/>
        <w:jc w:val="left"/>
      </w:pPr>
      <w:r>
        <w:rPr>
          <w:u w:val="single"/>
        </w:rPr>
        <w:t xml:space="preserve">(i) Facility performance must be evaluated on two metrics: </w:t>
      </w:r>
    </w:p>
    <w:p>
      <w:pPr>
        <w:spacing w:before="0" w:after="0" w:line="408" w:lineRule="exact"/>
        <w:ind w:left="0" w:right="0" w:firstLine="576"/>
        <w:jc w:val="left"/>
      </w:pPr>
      <w:r>
        <w:rPr>
          <w:u w:val="single"/>
        </w:rPr>
        <w:t xml:space="preserve">(A) Performance compared to national benchmarks determined as follows:</w:t>
      </w:r>
    </w:p>
    <w:p>
      <w:pPr>
        <w:spacing w:before="0" w:after="0" w:line="408" w:lineRule="exact"/>
        <w:ind w:left="0" w:right="0" w:firstLine="576"/>
        <w:jc w:val="left"/>
      </w:pPr>
      <w:r>
        <w:rPr>
          <w:u w:val="single"/>
        </w:rPr>
        <w:t xml:space="preserve">(I) A national score of one hundred thirty-five or greater equates to a performance percentage of one hundred twenty-five percent;</w:t>
      </w:r>
    </w:p>
    <w:p>
      <w:pPr>
        <w:spacing w:before="0" w:after="0" w:line="408" w:lineRule="exact"/>
        <w:ind w:left="0" w:right="0" w:firstLine="576"/>
        <w:jc w:val="left"/>
      </w:pPr>
      <w:r>
        <w:rPr>
          <w:u w:val="single"/>
        </w:rPr>
        <w:t xml:space="preserve">(II) A national score of one hundred five or one hundred twenty equates to a performance percentage of one hundred percent;</w:t>
      </w:r>
    </w:p>
    <w:p>
      <w:pPr>
        <w:spacing w:before="0" w:after="0" w:line="408" w:lineRule="exact"/>
        <w:ind w:left="0" w:right="0" w:firstLine="576"/>
        <w:jc w:val="left"/>
      </w:pPr>
      <w:r>
        <w:rPr>
          <w:u w:val="single"/>
        </w:rPr>
        <w:t xml:space="preserve">(III) A national score of seventy-five or ninety equates to a performance percentage of eighty percent;</w:t>
      </w:r>
    </w:p>
    <w:p>
      <w:pPr>
        <w:spacing w:before="0" w:after="0" w:line="408" w:lineRule="exact"/>
        <w:ind w:left="0" w:right="0" w:firstLine="576"/>
        <w:jc w:val="left"/>
      </w:pPr>
      <w:r>
        <w:rPr>
          <w:u w:val="single"/>
        </w:rPr>
        <w:t xml:space="preserve">(IV) A national score of sixty or below equates to a performance percentage of sixty percent; and </w:t>
      </w:r>
    </w:p>
    <w:p>
      <w:pPr>
        <w:spacing w:before="0" w:after="0" w:line="408" w:lineRule="exact"/>
        <w:ind w:left="0" w:right="0" w:firstLine="576"/>
        <w:jc w:val="left"/>
      </w:pPr>
      <w:r>
        <w:rPr>
          <w:u w:val="single"/>
        </w:rPr>
        <w:t xml:space="preserve">(B) Year-over-year improvement determined as follows:</w:t>
      </w:r>
    </w:p>
    <w:p>
      <w:pPr>
        <w:spacing w:before="0" w:after="0" w:line="408" w:lineRule="exact"/>
        <w:ind w:left="0" w:right="0" w:firstLine="576"/>
        <w:jc w:val="left"/>
      </w:pPr>
      <w:r>
        <w:rPr>
          <w:u w:val="single"/>
        </w:rPr>
        <w:t xml:space="preserve">(I) An improvement of up to nine percent over the previous year's score equates to an improvement percentage of sixty percent;</w:t>
      </w:r>
    </w:p>
    <w:p>
      <w:pPr>
        <w:spacing w:before="0" w:after="0" w:line="408" w:lineRule="exact"/>
        <w:ind w:left="0" w:right="0" w:firstLine="576"/>
        <w:jc w:val="left"/>
      </w:pPr>
      <w:r>
        <w:rPr>
          <w:u w:val="single"/>
        </w:rPr>
        <w:t xml:space="preserve">(II) An improvement of greater than nine percent and less than fifteen percent over the previous year's score equates to an improvement percentage of eighty percent; and</w:t>
      </w:r>
    </w:p>
    <w:p>
      <w:pPr>
        <w:spacing w:before="0" w:after="0" w:line="408" w:lineRule="exact"/>
        <w:ind w:left="0" w:right="0" w:firstLine="576"/>
        <w:jc w:val="left"/>
      </w:pPr>
      <w:r>
        <w:rPr>
          <w:u w:val="single"/>
        </w:rPr>
        <w:t xml:space="preserve">(III) An improvement of fifteen percent or greater over the previous year's score equates to an improvement percentage of one hundred percent.</w:t>
      </w:r>
    </w:p>
    <w:p>
      <w:pPr>
        <w:spacing w:before="0" w:after="0" w:line="408" w:lineRule="exact"/>
        <w:ind w:left="0" w:right="0" w:firstLine="576"/>
        <w:jc w:val="left"/>
      </w:pPr>
      <w:r>
        <w:rPr>
          <w:u w:val="single"/>
        </w:rPr>
        <w:t xml:space="preserve">(ii) Facilities must be placed in one of four tiers based on the average of the performance and improvement percentages. The rate increases must be distributed among the four tiers as follows:</w:t>
      </w:r>
    </w:p>
    <w:p>
      <w:pPr>
        <w:spacing w:before="0" w:after="0" w:line="408" w:lineRule="exact"/>
        <w:ind w:left="0" w:right="0" w:firstLine="576"/>
        <w:jc w:val="left"/>
      </w:pPr>
      <w:r>
        <w:rPr>
          <w:u w:val="single"/>
        </w:rPr>
        <w:t xml:space="preserve">(A) Tier one must include an average percentage that is greater than or equal to one hundred percent and qualifies for up to one hundred twenty-five percent of the available rate increase;</w:t>
      </w:r>
    </w:p>
    <w:p>
      <w:pPr>
        <w:spacing w:before="0" w:after="0" w:line="408" w:lineRule="exact"/>
        <w:ind w:left="0" w:right="0" w:firstLine="576"/>
        <w:jc w:val="left"/>
      </w:pPr>
      <w:r>
        <w:rPr>
          <w:u w:val="single"/>
        </w:rPr>
        <w:t xml:space="preserve">(B) Tier two must include an average percentage that is greater than or equal to ninety percent but less than one hundred percent and qualifies for up to one hundred percent of the available rate increase. Facilities with data deemed insufficient by the centers for medicare and medicaid services must be included in tier two;</w:t>
      </w:r>
    </w:p>
    <w:p>
      <w:pPr>
        <w:spacing w:before="0" w:after="0" w:line="408" w:lineRule="exact"/>
        <w:ind w:left="0" w:right="0" w:firstLine="576"/>
        <w:jc w:val="left"/>
      </w:pPr>
      <w:r>
        <w:rPr>
          <w:u w:val="single"/>
        </w:rPr>
        <w:t xml:space="preserve">(C) Tier three must include an average percentage that is greater than or equal to eighty but less than ninety percent and qualifies for up to eighty percent of the available rate increase; and</w:t>
      </w:r>
    </w:p>
    <w:p>
      <w:pPr>
        <w:spacing w:before="0" w:after="0" w:line="408" w:lineRule="exact"/>
        <w:ind w:left="0" w:right="0" w:firstLine="576"/>
        <w:jc w:val="left"/>
      </w:pPr>
      <w:r>
        <w:rPr>
          <w:u w:val="single"/>
        </w:rPr>
        <w:t xml:space="preserve">(D) Tier four must include an average percentage that is less than eighty percent and qualifies for up to sixty percent of the available rate increase.</w:t>
      </w:r>
    </w:p>
    <w:p>
      <w:pPr>
        <w:spacing w:before="0" w:after="0" w:line="408" w:lineRule="exact"/>
        <w:ind w:left="0" w:right="0" w:firstLine="576"/>
        <w:jc w:val="left"/>
      </w:pPr>
      <w:r>
        <w:rPr>
          <w:u w:val="single"/>
        </w:rPr>
        <w:t xml:space="preserve">(e) Any savings generated from (d) of this subsection (8) must be applied to the quality incentive identified in subsection (6) of this section.</w:t>
      </w:r>
    </w:p>
    <w:p>
      <w:pPr>
        <w:spacing w:before="0" w:after="0" w:line="408" w:lineRule="exact"/>
        <w:ind w:left="0" w:right="0" w:firstLine="576"/>
        <w:jc w:val="left"/>
      </w:pPr>
      <w:r>
        <w:rPr>
          <w:u w:val="single"/>
        </w:rPr>
        <w:t xml:space="preserve">(f) The department may adjust the outpatient emergency department visits performance measure in (d) of this subsection (8) to ensure budget neutrality.</w:t>
      </w:r>
    </w:p>
    <w:p>
      <w:pPr>
        <w:spacing w:before="0" w:after="0" w:line="408" w:lineRule="exact"/>
        <w:ind w:left="0" w:right="0" w:firstLine="576"/>
        <w:jc w:val="left"/>
      </w:pPr>
      <w:r>
        <w:rPr>
          <w:u w:val="single"/>
        </w:rPr>
        <w:t xml:space="preserve">(g) Beginning July 1, 2023, a facility specific rate add-on equal to the inflationary adjustment that the facility received for the direct care component in fiscal year 2023 shall be added to the rate.</w:t>
      </w:r>
    </w:p>
    <w:p>
      <w:pPr>
        <w:spacing w:before="0" w:after="0" w:line="408" w:lineRule="exact"/>
        <w:ind w:left="0" w:right="0" w:firstLine="576"/>
        <w:jc w:val="left"/>
      </w:pPr>
      <w:r>
        <w:rPr>
          <w:u w:val="single"/>
        </w:rPr>
        <w:t xml:space="preserve">(h) Beginning July 1, 2023, the funding provided for the inflationary adjustment for the indirect care component from (c) of this subsection (8) must be annually redistributed as specified in (d) of this subsection (8).</w:t>
      </w:r>
    </w:p>
    <w:p>
      <w:pPr>
        <w:spacing w:before="0" w:after="0" w:line="408" w:lineRule="exact"/>
        <w:ind w:left="0" w:right="0" w:firstLine="576"/>
        <w:jc w:val="left"/>
      </w:pPr>
      <w:r>
        <w:rPr>
          <w:u w:val="single"/>
        </w:rPr>
        <w:t xml:space="preserve">(i) The department shall review the calendar year cost reports from 2018 through 2021 and compare medicaid allowable costs in direct care and indirect care to rates paid to determine the impacts of annual inflationary adjustments. Based on its findings, the department shall make recommendations for ongoing inflation to the legislature. This report is due to appropriate committees of the legislature by December 1, 2022</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in consultation with the health care authority and stakeholders, shall review the impact of the distribution of the inflationary adjustment for the indirect care component and report its findings and recommendations to the appropriate committees of the legislature by December 1, 2021. To the extent practicable, the department's report must include a comparative analysis of the following metrics before and after the effective date of this section:</w:t>
      </w:r>
    </w:p>
    <w:p>
      <w:pPr>
        <w:spacing w:before="0" w:after="0" w:line="408" w:lineRule="exact"/>
        <w:ind w:left="0" w:right="0" w:firstLine="576"/>
        <w:jc w:val="left"/>
      </w:pPr>
      <w:r>
        <w:rPr/>
        <w:t xml:space="preserve">(1) Skilled nursing facility residents' emergency department visits;</w:t>
      </w:r>
    </w:p>
    <w:p>
      <w:pPr>
        <w:spacing w:before="0" w:after="0" w:line="408" w:lineRule="exact"/>
        <w:ind w:left="0" w:right="0" w:firstLine="576"/>
        <w:jc w:val="left"/>
      </w:pPr>
      <w:r>
        <w:rPr/>
        <w:t xml:space="preserve">(2) Case mix acuity;</w:t>
      </w:r>
    </w:p>
    <w:p>
      <w:pPr>
        <w:spacing w:before="0" w:after="0" w:line="408" w:lineRule="exact"/>
        <w:ind w:left="0" w:right="0" w:firstLine="576"/>
        <w:jc w:val="left"/>
      </w:pPr>
      <w:r>
        <w:rPr/>
        <w:t xml:space="preserve">(3) The number of long-term services and supports medicaid clients that are being served in nursing homes; and</w:t>
      </w:r>
    </w:p>
    <w:p>
      <w:pPr>
        <w:spacing w:before="0" w:after="0" w:line="408" w:lineRule="exact"/>
        <w:ind w:left="0" w:right="0" w:firstLine="576"/>
        <w:jc w:val="left"/>
      </w:pPr>
      <w:r>
        <w:rPr/>
        <w:t xml:space="preserve">(4) The number of licensed nursing homes and the number of licensed beds.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savings as a result of overappropriations associated with the rebase for fiscal year 2021 shall be utilized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3ed0a3486c640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d5d488f964990" /><Relationship Type="http://schemas.openxmlformats.org/officeDocument/2006/relationships/footer" Target="/word/footer1.xml" Id="Rf3ed0a3486c640b2" /></Relationships>
</file>