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e14b4c47bf468f" /></Relationships>
</file>

<file path=word/document.xml><?xml version="1.0" encoding="utf-8"?>
<w:document xmlns:w="http://schemas.openxmlformats.org/wordprocessingml/2006/main">
  <w:body>
    <w:p>
      <w:r>
        <w:t>S-5433.1</w:t>
      </w:r>
    </w:p>
    <w:p>
      <w:pPr>
        <w:jc w:val="center"/>
      </w:pPr>
      <w:r>
        <w:t>_______________________________________________</w:t>
      </w:r>
    </w:p>
    <w:p/>
    <w:p>
      <w:pPr>
        <w:jc w:val="center"/>
      </w:pPr>
      <w:r>
        <w:rPr>
          <w:b/>
        </w:rPr>
        <w:t>SENATE BILL 6515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Van De Wege, Randall, Mullet, Takko, Lovelett, Liias, Conway, Hasegawa, and Wilson, C.</w:t>
      </w:r>
    </w:p>
    <w:p/>
    <w:p>
      <w:r>
        <w:rPr>
          <w:t xml:space="preserve">Read first time 01/20/20.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medicaid payment methodology for skilled nursing facilities; amending RCW 74.46.561;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2019 c 301 s 1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shall be set so that a nursing home provider's direct care rate does not exceed one hundred eighteen percent of its base year's direct care allowable costs except if the provider is below the minimum staffing standard established in RCW 74.42.360(2). Direct care must be performance-adjusted for acuity every six months, using case mix principles. Direct care must be regionally adjusted using county 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 The direct care and indirect care components must be rebased </w:t>
      </w:r>
      <w:r>
        <w:t>((</w:t>
      </w:r>
      <w:r>
        <w:rPr>
          <w:strike/>
        </w:rPr>
        <w:t xml:space="preserve">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r>
        <w:t>))</w:t>
      </w:r>
      <w:r>
        <w:rPr/>
        <w:t xml:space="preserve"> </w:t>
      </w:r>
      <w:r>
        <w:rPr>
          <w:u w:val="single"/>
        </w:rPr>
        <w:t xml:space="preserve">for the month following the effective date of this section through June 30, 2020, using 2018 calendar year cost report information. Beginning July 1, 2020, and annually thereafter, rates paid shall be established using the most recent adjusted cost report information available. The most recent adjusted cost report information shall be the base year costs. The department shall use the most recent calendar year twelve-month average consumer price index for all urban consumers (CPI-U) as published by the United States bureau of labor statistics to further modify the direct care and indirect care components of the base year costs to recognize economic trends and cost changes</w:t>
      </w:r>
      <w:r>
        <w:rPr/>
        <w:t xml:space="preserve">.</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savings as a result of overappropriations associated with the rebase for fiscal year 2021 shall be utilized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2dce6952cec42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e1db0975b1477e" /><Relationship Type="http://schemas.openxmlformats.org/officeDocument/2006/relationships/footer" Target="/word/footer1.xml" Id="Ra2dce6952cec42f0" /></Relationships>
</file>