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73991fedc412d" /></Relationships>
</file>

<file path=word/document.xml><?xml version="1.0" encoding="utf-8"?>
<w:document xmlns:w="http://schemas.openxmlformats.org/wordprocessingml/2006/main">
  <w:body>
    <w:p>
      <w:r>
        <w:t>S-6042.1</w:t>
      </w:r>
    </w:p>
    <w:p>
      <w:pPr>
        <w:jc w:val="center"/>
      </w:pPr>
      <w:r>
        <w:t>_______________________________________________</w:t>
      </w:r>
    </w:p>
    <w:p/>
    <w:p>
      <w:pPr>
        <w:jc w:val="center"/>
      </w:pPr>
      <w:r>
        <w:rPr>
          <w:b/>
        </w:rPr>
        <w:t>SUBSTITUTE SENATE BILL 6561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Liias, Saldaña, Das, Nguyen, Hasegawa, Stanford, Dhingra, Hunt, Kuderer, Wellman,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 and public student loan forgiveness.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Who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 and</w:t>
      </w:r>
    </w:p>
    <w:p>
      <w:pPr>
        <w:spacing w:before="0" w:after="0" w:line="408" w:lineRule="exact"/>
        <w:ind w:left="0" w:right="0" w:firstLine="576"/>
        <w:jc w:val="left"/>
      </w:pPr>
      <w:r>
        <w:rPr/>
        <w:t xml:space="preserve">(d)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undocumented student support loan program is established.</w:t>
      </w:r>
    </w:p>
    <w:p>
      <w:pPr>
        <w:spacing w:before="0" w:after="0" w:line="408" w:lineRule="exact"/>
        <w:ind w:left="0" w:right="0" w:firstLine="576"/>
        <w:jc w:val="left"/>
      </w:pPr>
      <w:r>
        <w:rPr/>
        <w:t xml:space="preserve">(2) The program shall be designed in consultation with financial aid professionals at institutions of higher education and state and nonprofit programs that work with eligible students.</w:t>
      </w:r>
    </w:p>
    <w:p>
      <w:pPr>
        <w:spacing w:before="0" w:after="0" w:line="408" w:lineRule="exact"/>
        <w:ind w:left="0" w:right="0" w:firstLine="576"/>
        <w:jc w:val="left"/>
      </w:pPr>
      <w:r>
        <w:rPr/>
        <w:t xml:space="preserve">(3) The program shall be administered by the office. In administering the program, the office has the following powers and duties to:</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 annual loan limit equal to the cost of attendance minus any other financial aid received as provided in subsection (5)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Adopt program rules related to a public service loan forgiveness option;</w:t>
      </w:r>
    </w:p>
    <w:p>
      <w:pPr>
        <w:spacing w:before="0" w:after="0" w:line="408" w:lineRule="exact"/>
        <w:ind w:left="0" w:right="0" w:firstLine="576"/>
        <w:jc w:val="left"/>
      </w:pPr>
      <w:r>
        <w:rPr/>
        <w:t xml:space="preserve">(i) Solicit and accept grants and donations from public and private sources for the program; and</w:t>
      </w:r>
    </w:p>
    <w:p>
      <w:pPr>
        <w:spacing w:before="0" w:after="0" w:line="408" w:lineRule="exact"/>
        <w:ind w:left="0" w:right="0" w:firstLine="576"/>
        <w:jc w:val="left"/>
      </w:pPr>
      <w:r>
        <w:rPr/>
        <w:t xml:space="preserve">(j)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maximum amount granted per student for the undocumented student support loan program is as follows:</w:t>
      </w:r>
    </w:p>
    <w:p>
      <w:pPr>
        <w:spacing w:before="0" w:after="0" w:line="408" w:lineRule="exact"/>
        <w:ind w:left="0" w:right="0" w:firstLine="576"/>
        <w:jc w:val="left"/>
      </w:pPr>
      <w:r>
        <w:rPr/>
        <w:t xml:space="preserve">(a) For students attending a two-year or four-year institution of higher education,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0" w:after="0" w:line="408" w:lineRule="exact"/>
        <w:ind w:left="0" w:right="0" w:firstLine="576"/>
        <w:jc w:val="left"/>
      </w:pPr>
      <w:r>
        <w:rPr/>
        <w:t xml:space="preserve">(6) The office shall consult with relevant student associations and stakeholders in the development of the program.</w:t>
      </w:r>
    </w:p>
    <w:p>
      <w:pPr>
        <w:spacing w:before="0" w:after="0" w:line="408" w:lineRule="exact"/>
        <w:ind w:left="0" w:right="0" w:firstLine="576"/>
        <w:jc w:val="left"/>
      </w:pPr>
      <w:r>
        <w:rPr/>
        <w:t xml:space="preserve">(7) Data collected by the program must only be used for statistical analysis, research, and evaluation purposes. Data sharing by the office may be extended to include the office of financial management and other state governmental entities with oversight responsibility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undocumented student support loan account is created in the custody of the state treasurer. All receipts from undocumented student support loans must be deposited in the account. Expenditures from the account may be used only for the undocumented student support loan program created in section 3 of this act.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request that the state treasurer deposit state matching funds into the undocumented student support loan account created in section 4 of this act when the office can match the state funds with an equal amount of private cash donations. State matching funds are limited to no more than two million dollars per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3ac5f111770e48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85913b27f54e8d" /><Relationship Type="http://schemas.openxmlformats.org/officeDocument/2006/relationships/footer" Target="/word/footer1.xml" Id="R3ac5f111770e4887" /></Relationships>
</file>