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6e5ef37f74fea" /></Relationships>
</file>

<file path=word/document.xml><?xml version="1.0" encoding="utf-8"?>
<w:document xmlns:w="http://schemas.openxmlformats.org/wordprocessingml/2006/main">
  <w:body>
    <w:p>
      <w:r>
        <w:t>S-6100.1</w:t>
      </w:r>
    </w:p>
    <w:p>
      <w:pPr>
        <w:jc w:val="center"/>
      </w:pPr>
      <w:r>
        <w:t>_______________________________________________</w:t>
      </w:r>
    </w:p>
    <w:p/>
    <w:p>
      <w:pPr>
        <w:jc w:val="center"/>
      </w:pPr>
      <w:r>
        <w:rPr>
          <w:b/>
        </w:rPr>
        <w:t>SUBSTITUTE SENATE BILL 6566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Randall, Rolfes,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schedule for updates to the comprehensive plan of Kitsap county that are required under the growth management act to match the update schedules of other central Puget Sound counties;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w:t>
      </w:r>
      <w:r>
        <w:rPr>
          <w:u w:val="single"/>
        </w:rPr>
        <w:t xml:space="preserve">(i)</w:t>
      </w:r>
      <w:r>
        <w:rPr/>
        <w:t xml:space="preserve"> On or before June 30, 2015, and every eight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u w:val="single"/>
        </w:rPr>
        <w:t xml:space="preserve">(ii) For the June 30, 2023, review and revision deadline established in (a)(i) of this subsection, Kitsap county and the cities within Kitsap county may comply with the requirements of this section at any time within the twelve months following the deadline;</w:t>
      </w:r>
    </w:p>
    <w:p>
      <w:pPr>
        <w:spacing w:before="0" w:after="0" w:line="408" w:lineRule="exact"/>
        <w:ind w:left="0" w:right="0" w:firstLine="576"/>
        <w:jc w:val="left"/>
      </w:pPr>
      <w:r>
        <w:rPr/>
        <w:t xml:space="preserve">(b) On or before June 30, 2016, and every eight years thereafter, for Clallam, Clark, Island, Jefferson, </w:t>
      </w:r>
      <w:r>
        <w:t>((</w:t>
      </w:r>
      <w:r>
        <w:rPr>
          <w:strike/>
        </w:rPr>
        <w:t xml:space="preserve">Kitsap,</w:t>
      </w:r>
      <w:r>
        <w:t>))</w:t>
      </w:r>
      <w:r>
        <w:rPr/>
        <w:t xml:space="preserve">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faa6e22acb8e4a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2e7469e7d47a0" /><Relationship Type="http://schemas.openxmlformats.org/officeDocument/2006/relationships/footer" Target="/word/footer1.xml" Id="Rfaa6e22acb8e4ad2" /></Relationships>
</file>