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817a152d0b4e93" /></Relationships>
</file>

<file path=word/document.xml><?xml version="1.0" encoding="utf-8"?>
<w:document xmlns:w="http://schemas.openxmlformats.org/wordprocessingml/2006/main">
  <w:body>
    <w:p>
      <w:r>
        <w:t>S-4883.2</w:t>
      </w:r>
    </w:p>
    <w:p>
      <w:pPr>
        <w:jc w:val="center"/>
      </w:pPr>
      <w:r>
        <w:t>_______________________________________________</w:t>
      </w:r>
    </w:p>
    <w:p/>
    <w:p>
      <w:pPr>
        <w:jc w:val="center"/>
      </w:pPr>
      <w:r>
        <w:rPr>
          <w:b/>
        </w:rPr>
        <w:t>SENATE BILL 6568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gambling loss recovery laws to certain online games of chance; amending RCW 4.24.070;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it a priority to grow clean, high-wage jobs by encouraging firms engaged in mobile game development to invest and grow in the state. The state has been successful in its efforts. However, recent court cases filed in federal district court in Washington have created economic uncertainty for mobile game companies located in Washington state, or offering games to players located in the state, by raising the possibility that the legality surrounding these games will be decided differently than similar issues raised and decided in other states, such as Illinois, Maryland, and Ohio.</w:t>
      </w:r>
    </w:p>
    <w:p>
      <w:pPr>
        <w:spacing w:before="0" w:after="0" w:line="408" w:lineRule="exact"/>
        <w:ind w:left="0" w:right="0" w:firstLine="576"/>
        <w:jc w:val="left"/>
      </w:pPr>
      <w:r>
        <w:rPr/>
        <w:t xml:space="preserve">The legislature further finds that, of the recent lawsuits filed, two mobile game companies based in Washington are subject to these class action lawsuits. These lawsuits, if decided adversely to the game companies, pose a substantial financial risk for mobile game development in the state. The further possibility exists that companies based in Washington will move their base of operations to other states, which would remove thousands of jobs from the state and currently incalculable, but materially significant, tax dollars.</w:t>
      </w:r>
    </w:p>
    <w:p>
      <w:pPr>
        <w:spacing w:before="0" w:after="0" w:line="408" w:lineRule="exact"/>
        <w:ind w:left="0" w:right="0" w:firstLine="576"/>
        <w:jc w:val="left"/>
      </w:pPr>
      <w:r>
        <w:rPr/>
        <w:t xml:space="preserve">The legislature further finds that if any of these lawsuits result in adverse verdicts, the mobile game companies should be held harmless. The companies relied upon written guidance from a state regulatory body in developing their mobile games to ensure that no player would be able to win real money or prizes.</w:t>
      </w:r>
    </w:p>
    <w:p>
      <w:pPr>
        <w:spacing w:before="0" w:after="0" w:line="408" w:lineRule="exact"/>
        <w:ind w:left="0" w:right="0" w:firstLine="576"/>
        <w:jc w:val="left"/>
      </w:pPr>
      <w:r>
        <w:rPr/>
        <w:t xml:space="preserve">Therefore, it is the intent of the legislature to remove this economic uncertainty by clarifying that a player is not entitled to recovery under RCW 4.24.070, unless the mobile game played provides a mechanism for the withdrawal of money or property from the game.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070</w:t>
      </w:r>
      <w:r>
        <w:rPr/>
        <w:t xml:space="preserve"> and 1957 c 7 s 2 are each amended to read as follows:</w:t>
      </w:r>
    </w:p>
    <w:p>
      <w:pPr>
        <w:spacing w:before="0" w:after="0" w:line="408" w:lineRule="exact"/>
        <w:ind w:left="0" w:right="0" w:firstLine="576"/>
        <w:jc w:val="left"/>
      </w:pPr>
      <w:r>
        <w:rPr>
          <w:u w:val="single"/>
        </w:rPr>
        <w:t xml:space="preserve">(1)</w:t>
      </w:r>
      <w:r>
        <w:rPr/>
        <w:t xml:space="preserve"> All persons losing money or anything of value at or on any illegal gambling games shall have a cause of action to recover from the dealer or player winning, or from the proprietor for whose benefit such game was played or dealt, or such money or things of value won, the amount of the money or the value of the thing so lost.</w:t>
      </w:r>
    </w:p>
    <w:p>
      <w:pPr>
        <w:spacing w:before="0" w:after="0" w:line="408" w:lineRule="exact"/>
        <w:ind w:left="0" w:right="0" w:firstLine="576"/>
        <w:jc w:val="left"/>
      </w:pPr>
      <w:r>
        <w:rPr>
          <w:u w:val="single"/>
        </w:rPr>
        <w:t xml:space="preserve">(2) For purposes of this section, "illegal gambling games" does not include online games of chance when played solely for entertainment purposes with virtual items if such virtual items may be used only for gameplay and may not be, per the terms of service of the game, transferred, exchanged, or redeemed for money or property.</w:t>
      </w:r>
    </w:p>
    <w:p/>
    <w:p>
      <w:pPr>
        <w:jc w:val="center"/>
      </w:pPr>
      <w:r>
        <w:rPr>
          <w:b/>
        </w:rPr>
        <w:t>--- END ---</w:t>
      </w:r>
    </w:p>
    <w:sectPr>
      <w:pgNumType w:start="1"/>
      <w:footerReference xmlns:r="http://schemas.openxmlformats.org/officeDocument/2006/relationships" r:id="Rfe841d2022624a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9abc5082a4a99" /><Relationship Type="http://schemas.openxmlformats.org/officeDocument/2006/relationships/footer" Target="/word/footer1.xml" Id="Rfe841d2022624a09" /></Relationships>
</file>