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c06d18d4ee4a4a" /></Relationships>
</file>

<file path=word/document.xml><?xml version="1.0" encoding="utf-8"?>
<w:document xmlns:w="http://schemas.openxmlformats.org/wordprocessingml/2006/main">
  <w:body>
    <w:p>
      <w:r>
        <w:t>S-5333.3</w:t>
      </w:r>
    </w:p>
    <w:p>
      <w:pPr>
        <w:jc w:val="center"/>
      </w:pPr>
      <w:r>
        <w:t>_______________________________________________</w:t>
      </w:r>
    </w:p>
    <w:p/>
    <w:p>
      <w:pPr>
        <w:jc w:val="center"/>
      </w:pPr>
      <w:r>
        <w:rPr>
          <w:b/>
        </w:rPr>
        <w:t>SENATE BILL 6606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Mullet, Hobbs, Dhingra, Kuderer, Conway, Darneille, Keiser, Wilson, C., McCoy, Das, Billig, Saldaña, and Stanford</w:t>
      </w:r>
    </w:p>
    <w:p/>
    <w:p>
      <w:r>
        <w:rPr>
          <w:t xml:space="preserve">Read first time 01/24/20.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authorities; amending RCW 82.44.135; reenacting and amending RCW 81.104.160 and 82.44.035; creating a new section; repealing RCW 82.44.038 and 81.112.800; repealing 2020 c 1 ss 9, 10, and 13; repealing 2020 c 1 ss 11 and 16 (uncodified);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reenacted and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r>
        <w:t>))</w:t>
      </w:r>
      <w:r>
        <w:rPr/>
        <w:t xml:space="preserve"> </w:t>
      </w:r>
      <w:r>
        <w:rPr>
          <w:u w:val="single"/>
        </w:rPr>
        <w:t xml:space="preserve">The motor vehicle excise tax imposed under this subsection (1) must comply with RCW 82.44.035.</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w:t>
      </w:r>
      <w:r>
        <w:t>((</w:t>
      </w:r>
      <w:r>
        <w:rPr>
          <w:strike/>
        </w:rPr>
        <w:t xml:space="preserve">previously</w:t>
      </w:r>
      <w:r>
        <w:t>))</w:t>
      </w:r>
      <w:r>
        <w:rPr/>
        <w:t xml:space="preserve"> imposed under the provisions of </w:t>
      </w:r>
      <w:r>
        <w:t>((</w:t>
      </w:r>
      <w:r>
        <w:rPr>
          <w:strike/>
        </w:rPr>
        <w:t xml:space="preserve">RCW 81.104.160(1)</w:t>
      </w:r>
      <w:r>
        <w:t>))</w:t>
      </w:r>
      <w:r>
        <w:rPr/>
        <w:t xml:space="preserve"> </w:t>
      </w:r>
      <w:r>
        <w:rPr>
          <w:u w:val="single"/>
        </w:rPr>
        <w:t xml:space="preserve">subsection (1) of this section before December 5, 2002,</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w:t>
      </w:r>
      <w:r>
        <w:t>((</w:t>
      </w:r>
      <w:r>
        <w:rPr>
          <w:strike/>
        </w:rPr>
        <w:t xml:space="preserve">previously</w:t>
      </w:r>
      <w:r>
        <w:t>))</w:t>
      </w:r>
      <w:r>
        <w:rPr/>
        <w:t xml:space="preserve"> issued </w:t>
      </w:r>
      <w:r>
        <w:rPr>
          <w:u w:val="single"/>
        </w:rPr>
        <w:t xml:space="preserve">before December 5, 2002</w:t>
      </w:r>
      <w:r>
        <w:rPr/>
        <w:t xml:space="preserve">, the motor vehicle excise tax must comply with </w:t>
      </w:r>
      <w:r>
        <w:t>((</w:t>
      </w:r>
      <w:r>
        <w:rPr>
          <w:strike/>
        </w:rPr>
        <w:t xml:space="preserve">chapter 82.44 RCW as it existed on January 1, 1996</w:t>
      </w:r>
      <w:r>
        <w:t>))</w:t>
      </w:r>
      <w:r>
        <w:rPr/>
        <w:t xml:space="preserve"> </w:t>
      </w:r>
      <w:r>
        <w:rPr>
          <w:u w:val="single"/>
        </w:rPr>
        <w:t xml:space="preserve">RCW 82.44.035</w:t>
      </w:r>
      <w:r>
        <w:rPr/>
        <w:t xml:space="preserve">.</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reenacted and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shall be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rPr>
          <w:cantSplit/>
          <w:tblHeader/>
        </w:trP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shall be treated as a sale, and the value of the truck or trailer at that time, as determined by the department from such information as may be available, shall be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shall determine a value equivalent to a manufacturer's base suggested retail price as follows:</w:t>
      </w:r>
    </w:p>
    <w:p>
      <w:pPr>
        <w:spacing w:before="0" w:after="0" w:line="408" w:lineRule="exact"/>
        <w:ind w:left="0" w:right="0" w:firstLine="576"/>
        <w:jc w:val="left"/>
      </w:pPr>
      <w:r>
        <w:rPr/>
        <w:t xml:space="preserve">(a)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(3)(a) shall be divided by the applicable percentage listed in (b) of this subsection (3) to establish a value equivalent to a manufacturer's base suggested retail price and this value shall be multiplied by eighty-five percent.</w:t>
      </w:r>
    </w:p>
    <w:p>
      <w:pPr>
        <w:spacing w:before="0" w:after="0" w:line="408" w:lineRule="exact"/>
        <w:ind w:left="0" w:right="0" w:firstLine="576"/>
        <w:jc w:val="left"/>
      </w:pPr>
      <w:r>
        <w:rPr/>
        <w:t xml:space="preserve">(b) The year the vehicle is offered for sale as a new vehicle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rPr>
          <w:cantSplit/>
          <w:tblHeader/>
        </w:trP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w:t>
            </w:r>
            <w:r>
              <w:t>))</w:t>
            </w:r>
            <w:r>
              <w:rPr>
                <w:rFonts w:ascii="Times New Roman" w:hAnsi="Times New Roman"/>
                <w:sz w:val="20"/>
              </w:rPr>
              <w:t xml:space="preserve"> </w:t>
            </w:r>
            <w:r>
              <w:rPr>
                <w:rFonts w:ascii="Times New Roman" w:hAnsi="Times New Roman"/>
                <w:sz w:val="20"/>
                <w:u w:val="single"/>
              </w:rPr>
              <w:t xml:space="preserve">16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w:t>
            </w:r>
            <w:r>
              <w:t>))</w:t>
            </w:r>
            <w:r>
              <w:rPr>
                <w:rFonts w:ascii="Times New Roman" w:hAnsi="Times New Roman"/>
                <w:sz w:val="20"/>
              </w:rPr>
              <w:t xml:space="preserve"> </w:t>
            </w:r>
            <w:r>
              <w:rPr>
                <w:rFonts w:ascii="Times New Roman" w:hAnsi="Times New Roman"/>
                <w:sz w:val="20"/>
                <w:u w:val="single"/>
              </w:rPr>
              <w:t xml:space="preserve">12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21</w:t>
            </w:r>
            <w:r>
              <w:t>))</w:t>
            </w:r>
            <w:r>
              <w:rPr>
                <w:rFonts w:ascii="Times New Roman" w:hAnsi="Times New Roman"/>
                <w:sz w:val="20"/>
              </w:rPr>
              <w:t xml:space="preserve"> </w:t>
            </w:r>
            <w:r>
              <w:rPr>
                <w:rFonts w:ascii="Times New Roman" w:hAnsi="Times New Roman"/>
                <w:sz w:val="20"/>
                <w:u w:val="single"/>
              </w:rPr>
              <w:t xml:space="preserve">12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w:t>
            </w:r>
            <w:r>
              <w:t>))</w:t>
            </w:r>
            <w:r>
              <w:rPr>
                <w:rFonts w:ascii="Times New Roman" w:hAnsi="Times New Roman"/>
                <w:sz w:val="20"/>
              </w:rPr>
              <w:t xml:space="preserve"> </w:t>
            </w:r>
            <w:r>
              <w:rPr>
                <w:rFonts w:ascii="Times New Roman" w:hAnsi="Times New Roman"/>
                <w:sz w:val="20"/>
                <w:u w:val="single"/>
              </w:rPr>
              <w:t xml:space="preserve">12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shall exclude value attributable to modifications of a vehicle and equipment that are designed to facilitate the use or operation of the vehicle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w:t>
      </w:r>
      <w:r>
        <w:t>((</w:t>
      </w:r>
      <w:r>
        <w:rPr>
          <w:strike/>
        </w:rPr>
        <w:t xml:space="preserve">The</w:t>
      </w:r>
      <w:r>
        <w:t>))</w:t>
      </w:r>
      <w:r>
        <w:rPr/>
        <w:t xml:space="preserve"> </w:t>
      </w:r>
      <w:r>
        <w:rPr>
          <w:u w:val="single"/>
        </w:rPr>
        <w:t xml:space="preserve">Except as otherwise provided in this section, the</w:t>
      </w:r>
      <w:r>
        <w:rPr/>
        <w:t xml:space="preserv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Any contract entered into with a regional transit authority for the collection of a motor vehicle excise tax must provide that the department receives full reimbursement for the administration and collection of the tax, including those costs related to customer service and information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44</w:t>
      </w:r>
      <w:r>
        <w:rPr/>
        <w:t xml:space="preserve">.</w:t>
      </w:r>
      <w:r>
        <w:t xml:space="preserve">038</w:t>
      </w:r>
      <w:r>
        <w:rPr/>
        <w:t xml:space="preserve"> (Valuation of vehicles</w:t>
      </w:r>
      <w:r>
        <w:rPr>
          <w:rFonts w:ascii="Times New Roman" w:hAnsi="Times New Roman"/>
        </w:rPr>
        <w:t xml:space="preserve">—</w:t>
      </w:r>
      <w:r>
        <w:rPr/>
        <w:t xml:space="preserve">Use of Kelley Blue Book value) and 2020 c 1 s 8 (Initiative Measure No. 976);</w:t>
      </w:r>
    </w:p>
    <w:p>
      <w:pPr>
        <w:spacing w:before="0" w:after="0" w:line="408" w:lineRule="exact"/>
        <w:ind w:left="0" w:right="0" w:firstLine="576"/>
        <w:jc w:val="left"/>
      </w:pPr>
      <w:r>
        <w:t>(2)</w:t>
      </w:r>
      <w:r>
        <w:rPr/>
        <w:t xml:space="preserve">RCW </w:t>
      </w:r>
      <w:r>
        <w:t xml:space="preserve">81</w:t>
      </w:r>
      <w:r>
        <w:rPr/>
        <w:t xml:space="preserve">.</w:t>
      </w:r>
      <w:r>
        <w:t xml:space="preserve">112</w:t>
      </w:r>
      <w:r>
        <w:rPr/>
        <w:t xml:space="preserve">.</w:t>
      </w:r>
      <w:r>
        <w:t xml:space="preserve">800</w:t>
      </w:r>
      <w:r>
        <w:rPr/>
        <w:t xml:space="preserve"> (Motor vehicle excise tax</w:t>
      </w:r>
      <w:r>
        <w:rPr>
          <w:rFonts w:ascii="Times New Roman" w:hAnsi="Times New Roman"/>
        </w:rPr>
        <w:t xml:space="preserve">—</w:t>
      </w:r>
      <w:r>
        <w:rPr/>
        <w:t xml:space="preserve">Outstanding bonds</w:t>
      </w:r>
      <w:r>
        <w:rPr>
          <w:rFonts w:ascii="Times New Roman" w:hAnsi="Times New Roman"/>
        </w:rPr>
        <w:t xml:space="preserve">—</w:t>
      </w:r>
      <w:r>
        <w:rPr/>
        <w:t xml:space="preserve">Retirement, defeasement, and refinancing) and 2020 c 1 s 12 (Initiative Measure No. 976);</w:t>
      </w:r>
    </w:p>
    <w:p>
      <w:pPr>
        <w:spacing w:before="0" w:after="0" w:line="408" w:lineRule="exact"/>
        <w:ind w:left="0" w:right="0" w:firstLine="576"/>
        <w:jc w:val="left"/>
      </w:pPr>
      <w:r>
        <w:t>(3)</w:t>
      </w:r>
      <w:r>
        <w:rPr/>
        <w:t xml:space="preserve">2020 c 1 (Initiative Measure No. 976) s 9</w:t>
      </w:r>
      <w:r>
        <w:rPr/>
        <w:t xml:space="preserve">;</w:t>
      </w:r>
    </w:p>
    <w:p>
      <w:pPr>
        <w:spacing w:before="0" w:after="0" w:line="408" w:lineRule="exact"/>
        <w:ind w:left="0" w:right="0" w:firstLine="576"/>
        <w:jc w:val="left"/>
      </w:pPr>
      <w:r>
        <w:t>(4)</w:t>
      </w:r>
      <w:r>
        <w:rPr/>
        <w:t xml:space="preserve">2020 c 1 (Initiative Measure No. 976) s 10</w:t>
      </w:r>
      <w:r>
        <w:rPr/>
        <w:t xml:space="preserve">;</w:t>
      </w:r>
    </w:p>
    <w:p>
      <w:pPr>
        <w:spacing w:before="0" w:after="0" w:line="408" w:lineRule="exact"/>
        <w:ind w:left="0" w:right="0" w:firstLine="576"/>
        <w:jc w:val="left"/>
      </w:pPr>
      <w:r>
        <w:t>(5)</w:t>
      </w:r>
      <w:r>
        <w:rPr/>
        <w:t xml:space="preserve">2020 c 1 (Initiative Measure No. 976) s 11 (uncodified)</w:t>
      </w:r>
      <w:r>
        <w:rPr/>
        <w:t xml:space="preserve">;</w:t>
      </w:r>
    </w:p>
    <w:p>
      <w:pPr>
        <w:spacing w:before="0" w:after="0" w:line="408" w:lineRule="exact"/>
        <w:ind w:left="0" w:right="0" w:firstLine="576"/>
        <w:jc w:val="left"/>
      </w:pPr>
      <w:r>
        <w:t>(6)</w:t>
      </w:r>
      <w:r>
        <w:rPr/>
        <w:t xml:space="preserve">2020 c 1 (Initiative Measure No. 976) s 13</w:t>
      </w:r>
      <w:r>
        <w:rPr/>
        <w:t xml:space="preserve">; and</w:t>
      </w:r>
    </w:p>
    <w:p>
      <w:pPr>
        <w:spacing w:before="0" w:after="0" w:line="408" w:lineRule="exact"/>
        <w:ind w:left="0" w:right="0" w:firstLine="576"/>
        <w:jc w:val="left"/>
      </w:pPr>
      <w:r>
        <w:t>(7)</w:t>
      </w:r>
      <w:r>
        <w:rPr/>
        <w:t xml:space="preserve">2020 c 1 (Initiative Measure No. 976) s 16 (uncodified)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immediately upon a court of final jurisdiction holding that chapter 1 (Initiative Measure No. 976), Laws of 2020 is no longer enjoined from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provide written notice of the effective date of section 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68cf8c34c8e41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7a2d0dbe76465c" /><Relationship Type="http://schemas.openxmlformats.org/officeDocument/2006/relationships/footer" Target="/word/footer1.xml" Id="Ra68cf8c34c8e41e8" /></Relationships>
</file>