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fcc3634094bbd" /></Relationships>
</file>

<file path=word/document.xml><?xml version="1.0" encoding="utf-8"?>
<w:document xmlns:w="http://schemas.openxmlformats.org/wordprocessingml/2006/main">
  <w:body>
    <w:p>
      <w:r>
        <w:t>S-6053.3</w:t>
      </w:r>
    </w:p>
    <w:p>
      <w:pPr>
        <w:jc w:val="center"/>
      </w:pPr>
      <w:r>
        <w:t>_______________________________________________</w:t>
      </w:r>
    </w:p>
    <w:p/>
    <w:p>
      <w:pPr>
        <w:jc w:val="center"/>
      </w:pPr>
      <w:r>
        <w:rPr>
          <w:b/>
        </w:rPr>
        <w:t>SUBSTITUTE SENATE BILL 6628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Carlyle, Liias, Kuderer, Hunt, Stanford, Salomon, and Wellman; by request of Office of the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fossil fuels; amending RCW 70.94.030, 70.94.331, and 43.157.010; adding a new section to chapter 80.28 RCW;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Association of Washington Business v. Washington Department of Ecology</w:t>
      </w:r>
      <w:r>
        <w:rPr/>
        <w:t xml:space="preserve"> (No. 95885-8, January 16, 2020), the Washington supreme court held that certain regulations establishing greenhouse gas emission standards for producers and distributors of natural gas and petroleum products were invalid because the department lacked sufficient statutory authority under the state's clean air act to regulate such emissions while upholding regulations of sources directly emitting greenhouse gases. The legislature intends by this act to expressly provide such authority under the clean air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0" w:after="0" w:line="408" w:lineRule="exact"/>
        <w:ind w:left="0" w:right="0" w:firstLine="576"/>
        <w:jc w:val="left"/>
      </w:pPr>
      <w:r>
        <w:rPr>
          <w:u w:val="single"/>
        </w:rPr>
        <w:t xml:space="preserve">(25) "Emission," "emission standard," and "emission limitation," as applied to greenhouse gases as defined in RCW 70.235.010, include indirect emissions of greenhouse gases resulting from production or distribution of petroleum products or natural gas, where the release of air contaminants into the ambient air occurs during the consumption, use, combustion, or oxidation of the petroleum products or natural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or other products that emit greenhouse gases in Washington to comply with air quality standards, emission standards, or emission limitations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0" w:after="0" w:line="408" w:lineRule="exact"/>
        <w:ind w:left="0" w:right="0" w:firstLine="576"/>
        <w:jc w:val="left"/>
      </w:pPr>
      <w:r>
        <w:rPr>
          <w:u w:val="single"/>
        </w:rPr>
        <w:t xml:space="preserve">(10) Any penalty imposed on a person who produces or distributes fossil fuels or other products that is in violation of the requirements on air quality standards, emission standards, or emission limitations on greenhouse gases, as provided in subsection (2)(c) of this section, must be deposited into the multimodal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reviewing the utility compliance obligations associated with any rule that arises under the authority of section 1 of this act and RCW 70.94.030 and 70.94.331, the commission shall ensure that its processes and mechanisms allow timely cost recovery for prudent and reasonable costs associated with compliance with this act that are incurred by electrical companies and gas companies under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In exercising the authority provided under sections 2 and 3, chapter . . ., Laws of 2020 (sections 2 and 3 of this act), the department, consistent with the requirements of chapter 34.05 RCW and in the context of cost-benefit and least burdensome analyses, must seek to integrate new state greenhouse gas requirements with existing requirements and rules. The department must seek to design new requirements in a way that helps compliance entities achieve emission reduction targets and comply with existing sources and rules at the lowest compliance cost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project to construct a renewable fuels production facility that will be capable of producing more than one hundred million gallons of renewable energy products annually;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
      <w:pPr>
        <w:jc w:val="center"/>
      </w:pPr>
      <w:r>
        <w:rPr>
          <w:b/>
        </w:rPr>
        <w:t>--- END ---</w:t>
      </w:r>
    </w:p>
    <w:sectPr>
      <w:pgNumType w:start="1"/>
      <w:footerReference xmlns:r="http://schemas.openxmlformats.org/officeDocument/2006/relationships" r:id="R9b92444b299a4b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105405abd45e8" /><Relationship Type="http://schemas.openxmlformats.org/officeDocument/2006/relationships/footer" Target="/word/footer1.xml" Id="R9b92444b299a4b5c" /></Relationships>
</file>