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ebd22108a482a" /></Relationships>
</file>

<file path=word/document.xml><?xml version="1.0" encoding="utf-8"?>
<w:document xmlns:w="http://schemas.openxmlformats.org/wordprocessingml/2006/main">
  <w:body>
    <w:p>
      <w:r>
        <w:t>S-5021.2</w:t>
      </w:r>
    </w:p>
    <w:p>
      <w:pPr>
        <w:jc w:val="center"/>
      </w:pPr>
      <w:r>
        <w:t>_______________________________________________</w:t>
      </w:r>
    </w:p>
    <w:p/>
    <w:p>
      <w:pPr>
        <w:jc w:val="center"/>
      </w:pPr>
      <w:r>
        <w:rPr>
          <w:b/>
        </w:rPr>
        <w:t>SENATE BILL 6673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restrictions on the right to bear arms and ensuring personal protection for Washington citizens; amending RCW 9.41.090, 9.41.094, 9.41.097, 9.41.0975, 9.41.110, 9.41.122, 9.41.124, 9.41.129, 9.41.220, 9.41.240, 43.06.220, 9.41.345, 10.99.040, 7.90.090, 7.90.110, 7.92.100, 7.92.120, 26.50.070, and 26.09.060; reenacting and amending RCW 9.41.010, 9.41.300, 9.41.047, 10.99.030, and 10.14.080; adding a new section to chapter 9.41 RCW; creating new sections; repealing RCW 9.41.049, 9.41.092, 9.41.113, 9.41.115, 9.41.137, 9.41.139, 9.41.360, 9.41.365, 71.05.182, and 82.08.833; and repealing 2019 c 244 s 2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an absolute and paramount right for all people to bear arms in self-defense, as provided by the Second Amendment of the United States Constitution and Article I, section 24 of the state Constitution. This right is necessary to ensure the safety and protection of the people, particularly those groups who have been subject to widespread and historical suppression of their ability to exercise the fundamental rights held by all, such as women, people of color, and other minority groups. Any attempt to limit this right is a direct act entirely intended to infringe upon the ability of the people to ensure the safety of themselves and others, prevent invasions of their property and privacy, and to protect themselves from tyrannical government control.</w:t>
      </w:r>
    </w:p>
    <w:p>
      <w:pPr>
        <w:spacing w:before="0" w:after="0" w:line="408" w:lineRule="exact"/>
        <w:ind w:left="0" w:right="0" w:firstLine="576"/>
        <w:jc w:val="left"/>
      </w:pPr>
      <w:r>
        <w:rPr/>
        <w:t xml:space="preserve">The right to keep and bear arms is a fundamental freedom that existed long before the founding of this nation and state and should continue to be protected, nurtured, and expanded. It is the intent of the legislature to promote freedom, defend this essential right, and to protect public safety by enacting the Washington personal protection act.</w:t>
      </w:r>
    </w:p>
    <w:p>
      <w:pPr>
        <w:spacing w:before="0" w:after="0" w:line="408" w:lineRule="exact"/>
        <w:ind w:left="0" w:right="0" w:firstLine="576"/>
        <w:jc w:val="left"/>
      </w:pPr>
      <w:r>
        <w:rPr/>
        <w:t xml:space="preserve">It is the intent of the legislature to ensure laws that would infringe or abridge this fundamental right will not be enacted or adopted in any fashion. Further, the legislature intends to roll back any and all statutes and rules that restrict or limit the right to bear arms. This includes the provisions of Initiative Measure No. 1639 and Initiative Measure No. 594, as well as the RCW statutes that restrict access to pistols, rifles, bump stocks, high capacity magazines, and all other firearms, firearm accessories, and ammunition.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243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w:t>
      </w:r>
      <w:r>
        <w:t>((</w:t>
      </w:r>
      <w:r>
        <w:rPr>
          <w:strike/>
        </w:rPr>
        <w:t xml:space="preserve">10.99.020</w:t>
      </w:r>
      <w:r>
        <w:t>))</w:t>
      </w:r>
      <w:r>
        <w:rPr/>
        <w:t xml:space="preserve"> </w:t>
      </w:r>
      <w:r>
        <w:rPr>
          <w:u w:val="single"/>
        </w:rPr>
        <w:t xml:space="preserve">26.50.010</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w:t>
      </w:r>
      <w:r>
        <w:rPr>
          <w:u w:val="single"/>
        </w:rPr>
        <w:t xml:space="preserve">"Firearm accessories" means items that are used in conjunction with, or mounted upon, a firearm, but are not essential to the basic function of a firearm including, but not limited to, telescopic or laser sights, magazines, flash or sound suppressors, folding or aftermarket stocks and grips, speedloaders, ammunition carriers, and lights for target illumination.</w:t>
      </w:r>
    </w:p>
    <w:p>
      <w:pPr>
        <w:spacing w:before="0" w:after="0" w:line="408" w:lineRule="exact"/>
        <w:ind w:left="0" w:right="0" w:firstLine="576"/>
        <w:jc w:val="left"/>
      </w:pPr>
      <w:r>
        <w:rPr>
          <w:u w:val="single"/>
        </w:rPr>
        <w:t xml:space="preserve">(13)</w:t>
      </w:r>
      <w:r>
        <w:rPr/>
        <w:t xml:space="preserve"> "Gun" has the same meaning as firearm.</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"Manufacture" means, with respect to a firearm, the fabrication or construction of a firearm.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"Nonimmigrant alien" means a person defined as such in 8 U.S.C. Sec. 1101(a)(15).</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(25) "Secure gun storage" means:</w:t>
      </w:r>
    </w:p>
    <w:p>
      <w:pPr>
        <w:spacing w:before="0" w:after="0" w:line="408" w:lineRule="exact"/>
        <w:ind w:left="0" w:right="0" w:firstLine="576"/>
        <w:jc w:val="left"/>
      </w:pPr>
      <w:r>
        <w:rPr>
          <w:strike/>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strike/>
        </w:rPr>
        <w:t xml:space="preserve">(b) The act of keeping an unloaded firearm stored by such means.</w:t>
      </w:r>
    </w:p>
    <w:p>
      <w:pPr>
        <w:spacing w:before="0" w:after="0" w:line="408" w:lineRule="exact"/>
        <w:ind w:left="0" w:right="0" w:firstLine="576"/>
        <w:jc w:val="left"/>
      </w:pPr>
      <w:r>
        <w:rPr>
          <w:strike/>
        </w:rPr>
        <w:t xml:space="preserve">(26)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strike/>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 </w:t>
      </w:r>
      <w:r>
        <w:rPr>
          <w:u w:val="single"/>
        </w:rPr>
        <w:t xml:space="preserve">or</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r>
        <w:t>((</w:t>
      </w:r>
      <w:r>
        <w:rPr>
          <w:strike/>
        </w:rPr>
        <w:t xml:space="preserve">; or</w:t>
      </w:r>
    </w:p>
    <w:p>
      <w:pPr>
        <w:spacing w:before="0" w:after="0" w:line="408" w:lineRule="exact"/>
        <w:ind w:left="0" w:right="0" w:firstLine="576"/>
        <w:jc w:val="left"/>
      </w:pPr>
      <w:r>
        <w:rPr>
          <w:strike/>
        </w:rPr>
        <w:t xml:space="preserve">(p) Any felony conviction under RCW 9.41.115</w:t>
      </w:r>
      <w:r>
        <w:t>))</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244 s 1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dealer is notified in writing by </w:t>
      </w:r>
      <w:r>
        <w:t>((</w:t>
      </w:r>
      <w:r>
        <w:rPr>
          <w:strike/>
        </w:rPr>
        <w:t xml:space="preserve">(i)</w:t>
      </w:r>
      <w:r>
        <w:t>))</w:t>
      </w:r>
      <w:r>
        <w:rPr/>
        <w:t xml:space="preserve"> the chief of police or the sheriff of the jurisdiction in which the purchaser resides that the purchaser is eligible to possess a pistol under RCW 9.41.040 and that the application to purchase is approved by the chief of police or sheriff</w:t>
      </w:r>
      <w:r>
        <w:t>((</w:t>
      </w:r>
      <w:r>
        <w:rPr>
          <w:strike/>
        </w:rPr>
        <w:t xml:space="preserve">;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(b) The requirements or time periods in RCW 9.41.092 have been satisfied</w:t>
      </w:r>
      <w:r>
        <w:t>))</w:t>
      </w:r>
      <w:r>
        <w:rPr/>
        <w:t xml:space="preserve">.</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w:t>
      </w:r>
      <w:r>
        <w:t>))</w:t>
      </w:r>
      <w:r>
        <w:rPr/>
        <w:t xml:space="preserve">(a) Except as provided in (b) of this subsection, in determining whether the purchaser meets the requirements of RCW 9.41.040, the chief of police or sheriff, or the designee of either, shall check with </w:t>
      </w:r>
      <w:r>
        <w:t>((</w:t>
      </w:r>
      <w:r>
        <w:rPr>
          <w:strike/>
        </w:rPr>
        <w:t xml:space="preserve">the national instant criminal background check system, provided for by the Brady handgun violence prevention act (18 U.S.C. Sec. 921 et seq.),</w:t>
      </w:r>
      <w:r>
        <w:t>))</w:t>
      </w:r>
      <w:r>
        <w:rPr/>
        <w:t xml:space="preserve">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w:t>
      </w:r>
      <w:r>
        <w:t>((</w:t>
      </w:r>
      <w:r>
        <w:rPr>
          <w:strike/>
        </w:rPr>
        <w:t xml:space="preserve">The state, through the legislature or initiative process, may enact a statewide firearms background check system equivalent to, or more comprehensive than, the check required by (a) of this subsection to determine that a purchaser is eligible to possess a firearm under RCW 9.41.040.</w:t>
      </w:r>
      <w:r>
        <w:t>))</w:t>
      </w:r>
      <w:r>
        <w:rPr/>
        <w:t xml:space="preserve">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any case under this section where the applicant has an outstanding warrant for his or her arrest from any court of competent jurisdiction for a felony or misdemeanor, the dealer shall hold the delivery of the pistol </w:t>
      </w:r>
      <w:r>
        <w:t>((</w:t>
      </w:r>
      <w:r>
        <w:rPr>
          <w:strike/>
        </w:rPr>
        <w:t xml:space="preserve">or semiautomatic assault rifle</w:t>
      </w:r>
      <w:r>
        <w:t>))</w:t>
      </w:r>
      <w:r>
        <w:rPr/>
        <w:t xml:space="preserve"> until the warrant for arrest is served and satisfied by appropriate court appearance. The local jurisdiction for purposes of the sale</w:t>
      </w:r>
      <w:r>
        <w:t>((</w:t>
      </w:r>
      <w:r>
        <w:rPr>
          <w:strike/>
        </w:rPr>
        <w:t xml:space="preserve">, or the state pursuant to subsection (3)(b) of this section,</w:t>
      </w:r>
      <w:r>
        <w:t>))</w:t>
      </w:r>
      <w:r>
        <w:rPr/>
        <w:t xml:space="preserve"> shall confirm the existence of outstanding warrants within seventy-two hours after notification of the application to purchase a pistol </w:t>
      </w:r>
      <w:r>
        <w:t>((</w:t>
      </w:r>
      <w:r>
        <w:rPr>
          <w:strike/>
        </w:rPr>
        <w:t xml:space="preserve">or semiautomatic assault rifle</w:t>
      </w:r>
      <w:r>
        <w:t>))</w:t>
      </w:r>
      <w:r>
        <w:rPr/>
        <w:t xml:space="preserve"> is received. The local jurisdiction shall also immediately confirm the satisfaction of the warrant on request of the dealer so that the hold may be released if the warrant was for an offense other than an offense making a person ineligible under RCW 9.41.040 to possess a </w:t>
      </w:r>
      <w:r>
        <w:t>((</w:t>
      </w:r>
      <w:r>
        <w:rPr>
          <w:strike/>
        </w:rPr>
        <w:t xml:space="preserve">firearm</w:t>
      </w:r>
      <w:r>
        <w:t>))</w:t>
      </w:r>
      <w:r>
        <w:rPr/>
        <w:t xml:space="preserve"> </w:t>
      </w:r>
      <w:r>
        <w:rPr>
          <w:u w:val="single"/>
        </w:rPr>
        <w:t xml:space="preserve">pistol</w:t>
      </w:r>
      <w:r>
        <w:rPr/>
        <w:t xml:space="preserve">.</w:t>
      </w:r>
    </w:p>
    <w:p>
      <w:pPr>
        <w:spacing w:before="0" w:after="0" w:line="408" w:lineRule="exact"/>
        <w:ind w:left="0" w:right="0" w:firstLine="576"/>
        <w:jc w:val="left"/>
      </w:pPr>
      <w:r>
        <w:t>((</w:t>
      </w: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(a) At the time of applying for the purchase of a pistol </w:t>
      </w:r>
      <w:r>
        <w:t>((</w:t>
      </w:r>
      <w:r>
        <w:rPr>
          <w:strike/>
        </w:rPr>
        <w:t xml:space="preserve">or semiautomatic assault rifle</w:t>
      </w:r>
      <w:r>
        <w:t>))</w:t>
      </w:r>
      <w:r>
        <w:rPr/>
        <w:t xml:space="preserve">, the purchaser shall sign in triplicate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pistol </w:t>
      </w:r>
      <w:r>
        <w:t>((</w:t>
      </w:r>
      <w:r>
        <w:rPr>
          <w:strike/>
        </w:rPr>
        <w:t xml:space="preserve">or semiautomatic assault rifle</w:t>
      </w:r>
      <w:r>
        <w:t>))</w:t>
      </w:r>
      <w:r>
        <w:rPr/>
        <w:t xml:space="preserve"> including the make, model, caliber and manufacturer's number if available at the time of applying for the purchase of a pistol </w:t>
      </w:r>
      <w:r>
        <w:t>((</w:t>
      </w:r>
      <w:r>
        <w:rPr>
          <w:strike/>
        </w:rPr>
        <w:t xml:space="preserve">or semiautomatic assault rifle</w:t>
      </w:r>
      <w:r>
        <w:t>))</w:t>
      </w:r>
      <w:r>
        <w:rPr/>
        <w:t xml:space="preserve">. If the manufacturer's number is not available </w:t>
      </w:r>
      <w:r>
        <w:t>((</w:t>
      </w:r>
      <w:r>
        <w:rPr>
          <w:strike/>
        </w:rPr>
        <w:t xml:space="preserve">at the time of applying for the purchase of a pistol or semiautomatic assault rifle</w:t>
      </w:r>
      <w:r>
        <w:t>))</w:t>
      </w:r>
      <w:r>
        <w:rPr/>
        <w:t xml:space="preserve">, the application may be processed, but delivery of the pistol </w:t>
      </w:r>
      <w:r>
        <w:t>((</w:t>
      </w:r>
      <w:r>
        <w:rPr>
          <w:strike/>
        </w:rPr>
        <w:t xml:space="preserve">or semiautomatic assault rifle</w:t>
      </w:r>
      <w:r>
        <w:t>))</w:t>
      </w:r>
      <w:r>
        <w:rPr/>
        <w:t xml:space="preserve"> to the purchaser may not occur unless the manufacturer's number is recorded on the application by the dealer and transmitted to the chief of police of the municipality or the sheriff of the county in which the purchaser resides</w:t>
      </w:r>
      <w:r>
        <w:t>((</w:t>
      </w:r>
      <w:r>
        <w:rPr>
          <w:strike/>
        </w:rPr>
        <w:t xml:space="preserve">, or the state pursuant to subsection (3)(b) of this section</w:t>
      </w:r>
      <w:r>
        <w:t>))</w:t>
      </w:r>
      <w:r>
        <w:rPr/>
        <w:t xml:space="preserve">; </w:t>
      </w:r>
      <w:r>
        <w:rPr>
          <w:u w:val="single"/>
        </w:rPr>
        <w:t xml:space="preserve">and</w:t>
      </w:r>
    </w:p>
    <w:p>
      <w:pPr>
        <w:spacing w:before="0" w:after="0" w:line="408" w:lineRule="exact"/>
        <w:ind w:left="0" w:right="0" w:firstLine="576"/>
        <w:jc w:val="left"/>
      </w:pPr>
      <w:r>
        <w:rPr/>
        <w:t xml:space="preserve">(v) A statement that the purchaser is eligible to purchase and possess a </w:t>
      </w:r>
      <w:r>
        <w:t>((</w:t>
      </w:r>
      <w:r>
        <w:rPr>
          <w:strike/>
        </w:rPr>
        <w:t xml:space="preserve">firearm</w:t>
      </w:r>
      <w:r>
        <w:t>))</w:t>
      </w:r>
      <w:r>
        <w:rPr/>
        <w:t xml:space="preserve"> </w:t>
      </w:r>
      <w:r>
        <w:rPr>
          <w:u w:val="single"/>
        </w:rPr>
        <w:t xml:space="preserve">pistol</w:t>
      </w:r>
      <w:r>
        <w:rPr/>
        <w:t xml:space="preserve"> under </w:t>
      </w:r>
      <w:r>
        <w:t>((</w:t>
      </w:r>
      <w:r>
        <w:rPr>
          <w:strike/>
        </w:rPr>
        <w:t xml:space="preserve">state and federal law; and</w:t>
      </w:r>
    </w:p>
    <w:p>
      <w:pPr>
        <w:spacing w:before="0" w:after="0" w:line="408" w:lineRule="exact"/>
        <w:ind w:left="0" w:right="0" w:firstLine="576"/>
        <w:jc w:val="left"/>
      </w:pPr>
      <w:r>
        <w:rPr>
          <w:strik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t>))</w:t>
      </w:r>
      <w:r>
        <w:rPr/>
        <w:t xml:space="preserve"> </w:t>
      </w:r>
      <w:r>
        <w:rPr>
          <w:u w:val="single"/>
        </w:rPr>
        <w:t xml:space="preserve">RCW 9.41.040</w:t>
      </w:r>
      <w:r>
        <w:rPr/>
        <w:t xml:space="preserve">.</w:t>
      </w:r>
    </w:p>
    <w:p>
      <w:pPr>
        <w:spacing w:before="0" w:after="0" w:line="408" w:lineRule="exact"/>
        <w:ind w:left="0" w:right="0" w:firstLine="576"/>
        <w:jc w:val="left"/>
      </w:pPr>
      <w:r>
        <w:rPr/>
        <w:t xml:space="preserve">(b) The application shall contain </w:t>
      </w:r>
      <w:r>
        <w:t>((</w:t>
      </w:r>
      <w:r>
        <w:rPr>
          <w:strike/>
        </w:rPr>
        <w:t xml:space="preserve">two</w:t>
      </w:r>
      <w:r>
        <w:t>))</w:t>
      </w:r>
      <w:r>
        <w:rPr/>
        <w:t xml:space="preserve"> </w:t>
      </w:r>
      <w:r>
        <w:rPr>
          <w:u w:val="single"/>
        </w:rPr>
        <w:t xml:space="preserve">a</w:t>
      </w:r>
      <w:r>
        <w:rPr/>
        <w:t xml:space="preserve"> warning</w:t>
      </w:r>
      <w:r>
        <w:t>((</w:t>
      </w:r>
      <w:r>
        <w:rPr>
          <w:strike/>
        </w:rPr>
        <w:t xml:space="preserve">s</w:t>
      </w:r>
      <w:r>
        <w:t>))</w:t>
      </w:r>
      <w:r>
        <w:rPr/>
        <w:t xml:space="preserve"> substantially stated as follows:</w:t>
      </w:r>
    </w:p>
    <w:p>
      <w:pPr>
        <w:spacing w:before="120" w:after="0" w:line="408" w:lineRule="exact"/>
        <w:ind w:left="0" w:right="0" w:firstLine="576"/>
        <w:jc w:val="left"/>
      </w:pPr>
      <w:r>
        <w:t>((</w:t>
      </w:r>
      <w:r>
        <w:rPr>
          <w:strike/>
        </w:rPr>
        <w:t xml:space="preserve">(i)</w:t>
      </w:r>
      <w:r>
        <w:t>))</w:t>
      </w:r>
      <w:r>
        <w:rPr/>
        <w:t xml:space="preserve">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r>
        <w:t>((</w:t>
      </w:r>
      <w:r>
        <w:rPr>
          <w:strike/>
        </w:rPr>
        <w:t xml:space="preserve">; and</w:t>
      </w:r>
    </w:p>
    <w:p>
      <w:pPr>
        <w:spacing w:before="120" w:after="0" w:line="408" w:lineRule="exact"/>
        <w:ind w:left="0" w:right="0" w:firstLine="576"/>
        <w:jc w:val="left"/>
      </w:pPr>
      <w:r>
        <w:rPr>
          <w:strike/>
        </w:rPr>
        <w:t xml:space="preserve">(ii) CAUTION: The presence of a firearm in the home has been associated with an increased risk of death to self and others, including an increased risk of suicide, death during domestic violence incidents, and unintentional deaths to children and others</w:t>
      </w:r>
      <w:r>
        <w:t>))</w:t>
      </w:r>
      <w:r>
        <w:rPr/>
        <w:t xml:space="preserve">.</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r>
        <w:rPr>
          <w:u w:val="single"/>
        </w:rPr>
        <w:t xml:space="preserve">, and the fact that local laws and ordinances on firearms are preempted by state law and must be consistent with state law</w:t>
      </w:r>
      <w:r>
        <w:rPr/>
        <w:t xml:space="preserve">.</w:t>
      </w:r>
    </w:p>
    <w:p>
      <w:pPr>
        <w:spacing w:before="0" w:after="0" w:line="408" w:lineRule="exact"/>
        <w:ind w:left="0" w:right="0" w:firstLine="576"/>
        <w:jc w:val="left"/>
      </w:pPr>
      <w:r>
        <w:rPr/>
        <w:t xml:space="preserve">(c) The dealer shall, by the end of the business day, sign and attach his or her address and deliver a copy of the application and such other documentation as required under subsection</w:t>
      </w:r>
      <w:r>
        <w:t>((</w:t>
      </w:r>
      <w:r>
        <w:rPr>
          <w:strike/>
        </w:rPr>
        <w:t xml:space="preserve">s</w:t>
      </w:r>
      <w:r>
        <w:t>))</w:t>
      </w:r>
      <w:r>
        <w:rPr/>
        <w:t xml:space="preserve"> (1) </w:t>
      </w:r>
      <w:r>
        <w:t>((</w:t>
      </w:r>
      <w:r>
        <w:rPr>
          <w:strike/>
        </w:rPr>
        <w:t xml:space="preserve">and (2)</w:t>
      </w:r>
      <w:r>
        <w:t>))</w:t>
      </w:r>
      <w:r>
        <w:rPr/>
        <w:t xml:space="preserve"> of this section to the chief of police of the municipality or the sheriff of the county of which the purchaser is a resident</w:t>
      </w:r>
      <w:r>
        <w:t>((</w:t>
      </w:r>
      <w:r>
        <w:rPr>
          <w:strike/>
        </w:rPr>
        <w:t xml:space="preserve">, or the state pursuant to subsection (3)(b) of this section</w:t>
      </w:r>
      <w:r>
        <w:t>))</w:t>
      </w:r>
      <w:r>
        <w:rPr/>
        <w:t xml:space="preserve">. The triplicate shall be retained by the dealer for six years. The dealer shall deliver the pistol </w:t>
      </w:r>
      <w:r>
        <w:t>((</w:t>
      </w:r>
      <w:r>
        <w:rPr>
          <w:strike/>
        </w:rPr>
        <w:t xml:space="preserve">or semiautomatic assault rifle</w:t>
      </w:r>
      <w:r>
        <w:t>))</w:t>
      </w:r>
      <w:r>
        <w:rPr/>
        <w:t xml:space="preserve"> to the purchaser following the period of time specified in this chapter unless the dealer is notified of </w:t>
      </w:r>
      <w:r>
        <w:t>((</w:t>
      </w:r>
      <w:r>
        <w:rPr>
          <w:strike/>
        </w:rPr>
        <w:t xml:space="preserve">an investigative hold under subsection (5) of this section in writing by the chief of police of the municipality, the sheriff of the county, or the state, whichever is applicable, or of</w:t>
      </w:r>
      <w:r>
        <w:t>))</w:t>
      </w:r>
      <w:r>
        <w:rPr/>
        <w:t xml:space="preserve"> the denial of the purchaser's application to purchase and the grounds thereof. The application shall not be denied unless the purchaser is not eligible to purchase or possess </w:t>
      </w:r>
      <w:r>
        <w:t>((</w:t>
      </w:r>
      <w:r>
        <w:rPr>
          <w:strike/>
        </w:rPr>
        <w:t xml:space="preserve">the firearm</w:t>
      </w:r>
      <w:r>
        <w:t>))</w:t>
      </w:r>
      <w:r>
        <w:rPr/>
        <w:t xml:space="preserve"> </w:t>
      </w:r>
      <w:r>
        <w:rPr>
          <w:u w:val="single"/>
        </w:rPr>
        <w:t xml:space="preserve">a pistol</w:t>
      </w:r>
      <w:r>
        <w:rPr/>
        <w:t xml:space="preserve"> under </w:t>
      </w:r>
      <w:r>
        <w:t>((</w:t>
      </w:r>
      <w:r>
        <w:rPr>
          <w:strike/>
        </w:rPr>
        <w:t xml:space="preserve">state</w:t>
      </w:r>
      <w:r>
        <w:t>))</w:t>
      </w:r>
      <w:r>
        <w:rPr/>
        <w:t xml:space="preserve"> </w:t>
      </w:r>
      <w:r>
        <w:rPr>
          <w:u w:val="single"/>
        </w:rPr>
        <w:t xml:space="preserve">RCW 9.41.040 or 9.41.045</w:t>
      </w:r>
      <w:r>
        <w:rPr/>
        <w:t xml:space="preserve"> or federal law.</w:t>
      </w:r>
    </w:p>
    <w:p>
      <w:pPr>
        <w:spacing w:before="0" w:after="0" w:line="408" w:lineRule="exact"/>
        <w:ind w:left="0" w:right="0" w:firstLine="576"/>
        <w:jc w:val="left"/>
      </w:pPr>
      <w:r>
        <w:rPr/>
        <w:t xml:space="preserve">(d) The chief of police of the municipality or the sheriff of the county</w:t>
      </w:r>
      <w:r>
        <w:t>((</w:t>
      </w:r>
      <w:r>
        <w:rPr>
          <w:strike/>
        </w:rPr>
        <w:t xml:space="preserve">, or the state pursuant to subsection (3)(b) of this section,</w:t>
      </w:r>
      <w:r>
        <w:t>))</w:t>
      </w:r>
      <w:r>
        <w:rPr/>
        <w:t xml:space="preserve"> shall retain or destroy applications to purchase a pistol </w:t>
      </w:r>
      <w:r>
        <w:t>((</w:t>
      </w:r>
      <w:r>
        <w:rPr>
          <w:strike/>
        </w:rPr>
        <w:t xml:space="preserve">or semiautomatic assault rifle</w:t>
      </w:r>
      <w:r>
        <w:t>))</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A person who knowingly makes a false statement regarding identity or eligibility requirements on the application to purchase a </w:t>
      </w:r>
      <w:r>
        <w:t>((</w:t>
      </w:r>
      <w:r>
        <w:rPr>
          <w:strike/>
        </w:rPr>
        <w:t xml:space="preserve">firearm</w:t>
      </w:r>
      <w:r>
        <w:t>))</w:t>
      </w:r>
      <w:r>
        <w:rPr/>
        <w:t xml:space="preserve"> </w:t>
      </w:r>
      <w:r>
        <w:rPr>
          <w:u w:val="single"/>
        </w:rPr>
        <w:t xml:space="preserve">pistol</w:t>
      </w:r>
      <w:r>
        <w:rPr/>
        <w:t xml:space="preserve">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2019 c 3 s 7 (Initiative Measure No. 1639) are each amended to read as follows:</w:t>
      </w:r>
    </w:p>
    <w:p>
      <w:pPr>
        <w:spacing w:before="0" w:after="0" w:line="408" w:lineRule="exact"/>
        <w:ind w:left="0" w:right="0" w:firstLine="576"/>
        <w:jc w:val="left"/>
      </w:pPr>
      <w:r>
        <w:rPr/>
        <w:t xml:space="preserve">A signed application to purchase a pistol </w:t>
      </w:r>
      <w:r>
        <w:t>((</w:t>
      </w:r>
      <w:r>
        <w:rPr>
          <w:strike/>
        </w:rPr>
        <w:t xml:space="preserve">or semiautomatic assault rifle</w:t>
      </w:r>
      <w:r>
        <w:t>))</w:t>
      </w:r>
      <w:r>
        <w:rPr/>
        <w:t xml:space="preserve"> shall constitute a waiver of confidentiality and written request that the health care authority, mental health institutions, and other health care facilities release, to an inquiring court or law enforcement agency, information relevant to the applicant's eligibility to purchase a pistol </w:t>
      </w:r>
      <w:r>
        <w:t>((</w:t>
      </w:r>
      <w:r>
        <w:rPr>
          <w:strike/>
        </w:rPr>
        <w:t xml:space="preserve">or semiautomatic assault rifle</w:t>
      </w:r>
      <w:r>
        <w:t>))</w:t>
      </w:r>
      <w:r>
        <w:rPr/>
        <w:t xml:space="preserve">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2019 c 3 s 8 (Initiative Measure No. 1639)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w:t>
      </w:r>
      <w:r>
        <w:t>((</w:t>
      </w:r>
      <w:r>
        <w:rPr>
          <w:strike/>
        </w:rPr>
        <w:t xml:space="preserve">,</w:t>
      </w:r>
      <w:r>
        <w:t>))</w:t>
      </w:r>
      <w:r>
        <w:rPr/>
        <w:t xml:space="preserve"> </w:t>
      </w:r>
      <w:r>
        <w:rPr>
          <w:u w:val="single"/>
        </w:rPr>
        <w:t xml:space="preserve">or</w:t>
      </w:r>
      <w:r>
        <w:rPr/>
        <w:t xml:space="preserve"> law enforcement agency, </w:t>
      </w:r>
      <w:r>
        <w:t>((</w:t>
      </w:r>
      <w:r>
        <w:rPr>
          <w:strike/>
        </w:rPr>
        <w:t xml:space="preserve">or the state,</w:t>
      </w:r>
      <w:r>
        <w:t>))</w:t>
      </w:r>
      <w:r>
        <w:rPr/>
        <w:t xml:space="preserve"> supply such relevant information as is necessary to determine the eligibility of a person to possess a </w:t>
      </w:r>
      <w:r>
        <w:t>((</w:t>
      </w:r>
      <w:r>
        <w:rPr>
          <w:strike/>
        </w:rPr>
        <w:t xml:space="preserve">firearm</w:t>
      </w:r>
      <w:r>
        <w:t>))</w:t>
      </w:r>
      <w:r>
        <w:rPr/>
        <w:t xml:space="preserve"> </w:t>
      </w:r>
      <w:r>
        <w:rPr>
          <w:u w:val="single"/>
        </w:rPr>
        <w:t xml:space="preserve">pistol</w:t>
      </w:r>
      <w:r>
        <w:rPr/>
        <w:t xml:space="preserve"> or to be issued a concealed pistol license under RCW 9.41.070 or to purchase a pistol </w:t>
      </w:r>
      <w:r>
        <w:t>((</w:t>
      </w:r>
      <w:r>
        <w:rPr>
          <w:strike/>
        </w:rPr>
        <w:t xml:space="preserve">or semiautomatic assault rifle</w:t>
      </w:r>
      <w:r>
        <w:t>))</w:t>
      </w:r>
      <w:r>
        <w:rPr/>
        <w:t xml:space="preserve">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w:t>
      </w:r>
      <w:r>
        <w:rPr>
          <w:u w:val="single"/>
        </w:rPr>
        <w:t xml:space="preserve">or</w:t>
      </w:r>
      <w:r>
        <w:rPr/>
        <w:t xml:space="preserve"> (d) a court or law enforcement agency pursuant to subsection (1) of this section</w:t>
      </w:r>
      <w:r>
        <w:t>((</w:t>
      </w:r>
      <w:r>
        <w:rPr>
          <w:strike/>
        </w:rPr>
        <w:t xml:space="preserve">; or (e) the state pursuant to RCW 9.41.090</w:t>
      </w:r>
      <w:r>
        <w:t>))</w:t>
      </w:r>
      <w:r>
        <w:rPr/>
        <w:t xml:space="preserve">,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2019 c 3 s 9 (Initiative Measure No. 1639)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a law enforcement agency to approve an application to purchase </w:t>
      </w:r>
      <w:r>
        <w:t>((</w:t>
      </w:r>
      <w:r>
        <w:rPr>
          <w:strike/>
        </w:rPr>
        <w:t xml:space="preserve">a pistol or semiautomatic assault rifle</w:t>
      </w:r>
      <w:r>
        <w:t>))</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w:t>
      </w:r>
      <w:r>
        <w:t>((</w:t>
      </w:r>
      <w:r>
        <w:rPr>
          <w:strike/>
        </w:rPr>
        <w:t xml:space="preserve">for a pistol or semiautomatic assault rifle</w:t>
      </w:r>
      <w:r>
        <w:t>))</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to purchase a pistol </w:t>
      </w:r>
      <w:r>
        <w:t>((</w:t>
      </w:r>
      <w:r>
        <w:rPr>
          <w:strike/>
        </w:rPr>
        <w:t xml:space="preserve">or semiautomatic assault rifle</w:t>
      </w:r>
      <w:r>
        <w:t>))</w:t>
      </w:r>
      <w:r>
        <w:rPr/>
        <w:t xml:space="preserve"> was made, or in Thurston county, at the discretion of the petitioner. A court shall provide an expedited hearing for an application brought under this subsection </w:t>
      </w:r>
      <w:r>
        <w:t>((</w:t>
      </w:r>
      <w:r>
        <w:rPr>
          <w:strike/>
        </w:rPr>
        <w:t xml:space="preserve">(2)</w:t>
      </w:r>
      <w:r>
        <w:t>))</w:t>
      </w:r>
      <w:r>
        <w:rPr/>
        <w:t xml:space="preserve"> for a writ of mandamus. A person granted a writ of mandamus under this subsection </w:t>
      </w:r>
      <w:r>
        <w:t>((</w:t>
      </w:r>
      <w:r>
        <w:rPr>
          <w:strike/>
        </w:rPr>
        <w:t xml:space="preserve">(2)</w:t>
      </w:r>
      <w:r>
        <w:t>))</w:t>
      </w:r>
      <w:r>
        <w:rPr/>
        <w:t xml:space="preserve">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(Initiative Measure No. 1639)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w:t>
      </w:r>
      <w:r>
        <w:t>((</w:t>
      </w:r>
      <w:r>
        <w:rPr>
          <w:strike/>
        </w:rPr>
        <w:t xml:space="preserve">or semiautomatic assault rifles</w:t>
      </w:r>
      <w:r>
        <w:t>))</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w:t>
      </w:r>
      <w:r>
        <w:t>((</w:t>
      </w:r>
      <w:r>
        <w:rPr>
          <w:strike/>
        </w:rPr>
        <w:t xml:space="preserve">(6)(b)</w:t>
      </w:r>
      <w:r>
        <w:t>))</w:t>
      </w:r>
      <w:r>
        <w:rPr/>
        <w:t xml:space="preserve">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w:t>
      </w:r>
      <w:r>
        <w:t>((</w:t>
      </w:r>
      <w:r>
        <w:rPr>
          <w:strike/>
        </w:rPr>
        <w:t xml:space="preserve">or semiautomatic assault rifle</w:t>
      </w:r>
      <w:r>
        <w:t>))</w:t>
      </w:r>
      <w:r>
        <w:rPr/>
        <w:t xml:space="preserve"> may be sold: (i) In violation of any provisions of RCW 9.41.010 through 9.41.810; nor (ii) may a pistol </w:t>
      </w:r>
      <w:r>
        <w:t>((</w:t>
      </w:r>
      <w:r>
        <w:rPr>
          <w:strike/>
        </w:rPr>
        <w:t xml:space="preserve">or semiautomatic assault rifle</w:t>
      </w:r>
      <w:r>
        <w:t>))</w:t>
      </w:r>
      <w:r>
        <w:rPr/>
        <w:t xml:space="preserv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triplicate shall be made of every pistol </w:t>
      </w:r>
      <w:r>
        <w:t>((</w:t>
      </w:r>
      <w:r>
        <w:rPr>
          <w:strike/>
        </w:rPr>
        <w:t xml:space="preserve">or semiautomatic assault rifle</w:t>
      </w:r>
      <w:r>
        <w:t>))</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w:t>
      </w:r>
      <w:r>
        <w:t>((</w:t>
      </w:r>
      <w:r>
        <w:rPr>
          <w:strike/>
        </w:rPr>
        <w:t xml:space="preserve">state or federal law</w:t>
      </w:r>
      <w:r>
        <w:t>))</w:t>
      </w:r>
      <w:r>
        <w:rPr/>
        <w:t xml:space="preserve"> </w:t>
      </w:r>
      <w:r>
        <w:rPr>
          <w:u w:val="single"/>
        </w:rPr>
        <w:t xml:space="preserve">RCW 9.41.040</w:t>
      </w:r>
      <w:r>
        <w:rPr/>
        <w:t xml:space="preserve"> to possess a firearm.</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w:t>
      </w:r>
      <w:r>
        <w:t>((</w:t>
      </w:r>
      <w:r>
        <w:rPr>
          <w:strike/>
        </w:rPr>
        <w:t xml:space="preserve">, or the state pursuant to RCW 9.41.090</w:t>
      </w:r>
      <w:r>
        <w:t>))</w:t>
      </w:r>
      <w:r>
        <w:rPr/>
        <w:t xml:space="preserve">; the duplicate the dealer shall within seven days send to the director of licensing; the triplicate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122</w:t>
      </w:r>
      <w:r>
        <w:rPr/>
        <w:t xml:space="preserve"> and 2015 c 1 s 6 are each amended to read as follows:</w:t>
      </w:r>
    </w:p>
    <w:p>
      <w:pPr>
        <w:spacing w:before="0" w:after="0" w:line="408" w:lineRule="exact"/>
        <w:ind w:left="0" w:right="0" w:firstLine="576"/>
        <w:jc w:val="left"/>
      </w:pPr>
      <w:r>
        <w:rPr/>
        <w:t xml:space="preserve">Residents of Washington may purchase rifles and shotguns in a state other than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purchase is made</w:t>
      </w:r>
      <w:r>
        <w:t>((</w:t>
      </w:r>
      <w:r>
        <w:rPr>
          <w:strike/>
        </w:rPr>
        <w:t xml:space="preserve">: AND PROVIDED FURTHER, That when any part of the transaction takes place in Washington, including, but not limited to, internet sales, such residents are subject to the procedures and background checks required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2019 c 3 s 12 (Initiative Measure No. 1639) are each amended to read as follows:</w:t>
      </w:r>
    </w:p>
    <w:p>
      <w:pPr>
        <w:spacing w:before="0" w:after="0" w:line="408" w:lineRule="exact"/>
        <w:ind w:left="0" w:right="0" w:firstLine="576"/>
        <w:jc w:val="left"/>
      </w:pPr>
      <w:r>
        <w:rPr/>
        <w:t xml:space="preserve">Residents of a state other than Washington may purchase rifles and shotguns</w:t>
      </w:r>
      <w:r>
        <w:t>((</w:t>
      </w:r>
      <w:r>
        <w:rPr>
          <w:strike/>
        </w:rPr>
        <w:t xml:space="preserve">, except those firearms defined as semiautomatic assault rifles,</w:t>
      </w:r>
      <w:r>
        <w:t>))</w:t>
      </w:r>
      <w:r>
        <w:rPr/>
        <w:t xml:space="preserve">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w:t>
      </w:r>
      <w:r>
        <w:t>((</w:t>
      </w:r>
      <w:r>
        <w:rPr>
          <w:strike/>
        </w:rPr>
        <w:t xml:space="preserve">: AND PROVIDED FURTHER, That such residents are subject to the procedures and background checks required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2019 c 3 s 14 (Initiative Measure No. 1639) are each amended to read as follows:</w:t>
      </w:r>
    </w:p>
    <w:p>
      <w:pPr>
        <w:spacing w:before="0" w:after="0" w:line="408" w:lineRule="exact"/>
        <w:ind w:left="0" w:right="0" w:firstLine="576"/>
        <w:jc w:val="left"/>
      </w:pPr>
      <w:r>
        <w:rPr/>
        <w:t xml:space="preserve">The department of licensing </w:t>
      </w:r>
      <w:r>
        <w:t>((</w:t>
      </w:r>
      <w:r>
        <w:rPr>
          <w:strike/>
        </w:rPr>
        <w:t xml:space="preserve">shall</w:t>
      </w:r>
      <w:r>
        <w:t>))</w:t>
      </w:r>
      <w:r>
        <w:rPr/>
        <w:t xml:space="preserve"> </w:t>
      </w:r>
      <w:r>
        <w:rPr>
          <w:u w:val="single"/>
        </w:rPr>
        <w:t xml:space="preserve">may</w:t>
      </w:r>
      <w:r>
        <w:rPr/>
        <w:t xml:space="preserve"> keep copies or records of applications for concealed pistol licenses provided for in RCW 9.41.070, copies or records of applications for alien firearm licenses, copies or records of applications to purchase pistols </w:t>
      </w:r>
      <w:r>
        <w:t>((</w:t>
      </w:r>
      <w:r>
        <w:rPr>
          <w:strike/>
        </w:rPr>
        <w:t xml:space="preserve">or semiautomatic assault rifles</w:t>
      </w:r>
      <w:r>
        <w:t>))</w:t>
      </w:r>
      <w:r>
        <w:rPr/>
        <w:t xml:space="preserve"> provided for in RCW 9.41.090, and copies or records of pistol </w:t>
      </w:r>
      <w:r>
        <w:t>((</w:t>
      </w:r>
      <w:r>
        <w:rPr>
          <w:strike/>
        </w:rPr>
        <w:t xml:space="preserve">or semiautomatic assault rifle</w:t>
      </w:r>
      <w:r>
        <w:t>))</w:t>
      </w:r>
      <w:r>
        <w:rPr/>
        <w:t xml:space="preserve"> transfers provided for in RCW 9.41.110. The copies and records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2019 c 243 s 4 are each amended to read as follows:</w:t>
      </w:r>
    </w:p>
    <w:p>
      <w:pPr>
        <w:spacing w:before="0" w:after="0" w:line="408" w:lineRule="exact"/>
        <w:ind w:left="0" w:right="0" w:firstLine="576"/>
        <w:jc w:val="left"/>
      </w:pPr>
      <w:r>
        <w:rPr/>
        <w:t xml:space="preserve">All machine guns</w:t>
      </w:r>
      <w:r>
        <w:rPr/>
        <w:t xml:space="preserve">,</w:t>
      </w:r>
      <w:r>
        <w:rPr/>
        <w:t xml:space="preserve"> bump-fire stocks, undetectable firearms, </w:t>
      </w:r>
      <w:r>
        <w:t>((</w:t>
      </w:r>
      <w:r>
        <w:rPr>
          <w:strike/>
        </w:rPr>
        <w:t xml:space="preserve">short-barreled shotguns, or short-barreled rifles,</w:t>
      </w:r>
      <w:r>
        <w:t>))</w:t>
      </w:r>
      <w:r>
        <w:rPr/>
        <w:t xml:space="preserve"> or any part designed and intended solely and exclusively for use in a machine gun, </w:t>
      </w:r>
      <w:r>
        <w:t>((</w:t>
      </w:r>
      <w:r>
        <w:rPr>
          <w:strike/>
        </w:rPr>
        <w:t xml:space="preserve">short-barreled shotgun, or short-barreled rifle,</w:t>
      </w:r>
      <w:r>
        <w:t>))</w:t>
      </w:r>
      <w:r>
        <w:rPr/>
        <w:t xml:space="preserve"> or in converting a weapon into a machine gun, </w:t>
      </w:r>
      <w:r>
        <w:t>((</w:t>
      </w:r>
      <w:r>
        <w:rPr>
          <w:strike/>
        </w:rPr>
        <w:t xml:space="preserve">short-barreled shotgun, or short-barreled rifle,</w:t>
      </w:r>
      <w:r>
        <w:t>))</w:t>
      </w:r>
      <w:r>
        <w:rPr/>
        <w:t xml:space="preserve"> illegally held or illegally possessed</w:t>
      </w:r>
      <w:r>
        <w:rPr>
          <w:u w:val="single"/>
        </w:rPr>
        <w:t xml:space="preserve">,</w:t>
      </w:r>
      <w:r>
        <w:rPr/>
        <w:t xml:space="preserve"> are hereby declared to be contraband, and it shall be the duty of all peace officers, and/or any officer or member of the armed forces of the United States or the state of Washington, to seize said machine gun, bump-fire stock, undetectable firearm, </w:t>
      </w:r>
      <w:r>
        <w:t>((</w:t>
      </w:r>
      <w:r>
        <w:rPr>
          <w:strike/>
        </w:rPr>
        <w:t xml:space="preserve">short-barreled shotgun, or short-barreled rifle,</w:t>
      </w:r>
      <w:r>
        <w:t>))</w:t>
      </w:r>
      <w:r>
        <w:rPr/>
        <w:t xml:space="preserv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240</w:t>
      </w:r>
      <w:r>
        <w:rPr/>
        <w:t xml:space="preserve"> and 2019 c 3 s 13 (Initiative Measure No. 1639) are each amended to read as follows:</w:t>
      </w:r>
    </w:p>
    <w:p>
      <w:pPr>
        <w:spacing w:before="0" w:after="0" w:line="408" w:lineRule="exact"/>
        <w:ind w:left="0" w:right="0" w:firstLine="576"/>
        <w:jc w:val="left"/>
      </w:pPr>
      <w:r>
        <w:t>((</w:t>
      </w:r>
      <w:r>
        <w:rPr>
          <w:strike/>
        </w:rPr>
        <w:t xml:space="preserve">(1) A person under twenty-one years of age may not purchase a pistol or semiautomatic assault rifle, and except as otherwise provided in this chapter, no person may sell or transfer a semiautomatic assault rifle to a person under twenty-one years of age.</w:t>
      </w:r>
    </w:p>
    <w:p>
      <w:pPr>
        <w:spacing w:before="0" w:after="0" w:line="408" w:lineRule="exact"/>
        <w:ind w:left="0" w:right="0" w:firstLine="576"/>
        <w:jc w:val="left"/>
      </w:pPr>
      <w:r>
        <w:rPr>
          <w:strike/>
        </w:rPr>
        <w:t xml:space="preserve">(2)</w:t>
      </w:r>
      <w:r>
        <w:t>))</w:t>
      </w:r>
      <w:r>
        <w:rPr/>
        <w:t xml:space="preserve"> Unless an exception under RCW 9.41.042, 9.41.050, or 9.41.060 applies, a person at least eighteen years of age, but less than twenty-one years of age, may possess a pistol only:</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In the person's place of abode;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At the person's fixed place of business; or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On real property under his or her control.</w:t>
      </w:r>
    </w:p>
    <w:p>
      <w:pPr>
        <w:spacing w:before="0" w:after="0" w:line="408" w:lineRule="exact"/>
        <w:ind w:left="0" w:right="0" w:firstLine="576"/>
        <w:jc w:val="left"/>
      </w:pPr>
      <w:r>
        <w:t>((</w:t>
      </w:r>
      <w:r>
        <w:rPr>
          <w:strike/>
        </w:rPr>
        <w:t xml:space="preserve">(3) Except in the places and situations identified in RCW 9.41.042 (1) through (9) and 9.41.060 (1) through (10), a person at least eighteen years of age, but less than twenty-one years of age, may possess a semiautomatic assault rifle only:</w:t>
      </w:r>
    </w:p>
    <w:p>
      <w:pPr>
        <w:spacing w:before="0" w:after="0" w:line="408" w:lineRule="exact"/>
        <w:ind w:left="0" w:right="0" w:firstLine="576"/>
        <w:jc w:val="left"/>
      </w:pPr>
      <w:r>
        <w:rPr>
          <w:strike/>
        </w:rPr>
        <w:t xml:space="preserve">(a) In the person's place of abode;</w:t>
      </w:r>
    </w:p>
    <w:p>
      <w:pPr>
        <w:spacing w:before="0" w:after="0" w:line="408" w:lineRule="exact"/>
        <w:ind w:left="0" w:right="0" w:firstLine="576"/>
        <w:jc w:val="left"/>
      </w:pPr>
      <w:r>
        <w:rPr>
          <w:strike/>
        </w:rPr>
        <w:t xml:space="preserve">(b) At the person's fixed place of business;</w:t>
      </w:r>
    </w:p>
    <w:p>
      <w:pPr>
        <w:spacing w:before="0" w:after="0" w:line="408" w:lineRule="exact"/>
        <w:ind w:left="0" w:right="0" w:firstLine="576"/>
        <w:jc w:val="left"/>
      </w:pPr>
      <w:r>
        <w:rPr>
          <w:strike/>
        </w:rPr>
        <w:t xml:space="preserve">(c) On real property under his or her control; or</w:t>
      </w:r>
    </w:p>
    <w:p>
      <w:pPr>
        <w:spacing w:before="0" w:after="0" w:line="408" w:lineRule="exact"/>
        <w:ind w:left="0" w:right="0" w:firstLine="576"/>
        <w:jc w:val="left"/>
      </w:pPr>
      <w:r>
        <w:rPr>
          <w:strike/>
        </w:rPr>
        <w:t xml:space="preserve">(d) For the specific purpose of (i) moving to a new place of abode; (ii) traveling between the person's place of abode and real property under his or her control; or (iii) selling or transferring the firearm in accordance with the requirements of this chapter; provided that in all of these situations the semiautomatic assault rifle is unloaded and either in secure gun storage or secured with a trigger lock or similar device that is designed to prevent the unauthorized use or discharge of the firearm.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w:t>
      </w:r>
      <w:r>
        <w:rPr>
          <w:u w:val="single"/>
        </w:rPr>
        <w:t xml:space="preserve">,</w:t>
      </w:r>
      <w:r>
        <w:rPr/>
        <w:t xml:space="preserve">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w:t>
      </w:r>
      <w:r>
        <w:t>((</w:t>
      </w:r>
      <w:r>
        <w:rPr>
          <w:strike/>
        </w:rPr>
        <w:t xml:space="preserve">or</w:t>
      </w:r>
      <w:r>
        <w:t>))</w:t>
      </w:r>
      <w:r>
        <w:rPr/>
        <w:t xml:space="preserve">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w:t>
      </w:r>
      <w:r>
        <w:rPr>
          <w:u w:val="single"/>
        </w:rPr>
        <w:t xml:space="preserve">,</w:t>
      </w:r>
      <w:r>
        <w:rPr/>
        <w:t xml:space="preserve"> or transportation of a molotov cocktail or any other device, instrument</w:t>
      </w:r>
      <w:r>
        <w:rPr>
          <w:u w:val="single"/>
        </w:rPr>
        <w:t xml:space="preserve">,</w:t>
      </w:r>
      <w:r>
        <w:rPr/>
        <w:t xml:space="preserve"> or object designed to explode or produce uncontained combustion;</w:t>
      </w:r>
    </w:p>
    <w:p>
      <w:pPr>
        <w:spacing w:before="0" w:after="0" w:line="408" w:lineRule="exact"/>
        <w:ind w:left="0" w:right="0" w:firstLine="576"/>
        <w:jc w:val="left"/>
      </w:pPr>
      <w:r>
        <w:rPr/>
        <w:t xml:space="preserve">(d) The transporting, possessing</w:t>
      </w:r>
      <w:r>
        <w:rPr>
          <w:u w:val="single"/>
        </w:rPr>
        <w:t xml:space="preserve">,</w:t>
      </w:r>
      <w:r>
        <w:rPr/>
        <w:t xml:space="preserve"> or using of gasoline, kerosene, or combustible, flammable, or explosive liquids or materials in a glass or uncapped container of any kind except in connection with the normal operation of motor vehicles, normal home use</w:t>
      </w:r>
      <w:r>
        <w:rPr>
          <w:u w:val="single"/>
        </w:rPr>
        <w:t xml:space="preserve">,</w:t>
      </w:r>
      <w:r>
        <w:rPr/>
        <w:t xml:space="preserve"> or legitimate commercial use;</w:t>
      </w:r>
    </w:p>
    <w:p>
      <w:pPr>
        <w:spacing w:before="0" w:after="0" w:line="408" w:lineRule="exact"/>
        <w:ind w:left="0" w:right="0" w:firstLine="576"/>
        <w:jc w:val="left"/>
      </w:pPr>
      <w:r>
        <w:rPr/>
        <w:t xml:space="preserve">(e) The sale, purchase</w:t>
      </w:r>
      <w:r>
        <w:rPr>
          <w:u w:val="single"/>
        </w:rPr>
        <w:t xml:space="preserve">,</w:t>
      </w:r>
      <w:r>
        <w:rPr/>
        <w:t xml:space="preserve"> or dispensing of alcoholic beverages;</w:t>
      </w:r>
    </w:p>
    <w:p>
      <w:pPr>
        <w:spacing w:before="0" w:after="0" w:line="408" w:lineRule="exact"/>
        <w:ind w:left="0" w:right="0" w:firstLine="576"/>
        <w:jc w:val="left"/>
      </w:pPr>
      <w:r>
        <w:rPr/>
        <w:t xml:space="preserve">(f) The sale, purchase</w:t>
      </w:r>
      <w:r>
        <w:rPr>
          <w:u w:val="single"/>
        </w:rPr>
        <w:t xml:space="preserve">,</w:t>
      </w:r>
      <w:r>
        <w:rPr/>
        <w:t xml:space="preserve"> or dispensing of other commodities or goods, as he or she reasonably believes should be prohibited to help preserve and maintain life, health, property</w:t>
      </w:r>
      <w:r>
        <w:rPr>
          <w:u w:val="single"/>
        </w:rPr>
        <w:t xml:space="preserve">,</w:t>
      </w:r>
      <w:r>
        <w:rPr/>
        <w:t xml:space="preserve"> or the public peace;</w:t>
      </w:r>
    </w:p>
    <w:p>
      <w:pPr>
        <w:spacing w:before="0" w:after="0" w:line="408" w:lineRule="exact"/>
        <w:ind w:left="0" w:right="0" w:firstLine="576"/>
        <w:jc w:val="left"/>
      </w:pPr>
      <w:r>
        <w:rPr/>
        <w:t xml:space="preserve">(g) The use of certain streets, highways</w:t>
      </w:r>
      <w:r>
        <w:rPr>
          <w:u w:val="single"/>
        </w:rPr>
        <w:t xml:space="preserve">,</w:t>
      </w:r>
      <w:r>
        <w:rPr/>
        <w:t xml:space="preserve">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w:t>
      </w:r>
      <w:r>
        <w:rPr>
          <w:u w:val="single"/>
        </w:rPr>
        <w:t xml:space="preserve">,</w:t>
      </w:r>
      <w:r>
        <w:rPr/>
        <w:t xml:space="preserve"> or the public peace.</w:t>
      </w:r>
    </w:p>
    <w:p>
      <w:pPr>
        <w:spacing w:before="0" w:after="0" w:line="408" w:lineRule="exact"/>
        <w:ind w:left="0" w:right="0" w:firstLine="576"/>
        <w:jc w:val="left"/>
      </w:pPr>
      <w:r>
        <w:rPr/>
        <w:t xml:space="preserve">(2) The governor</w:t>
      </w:r>
      <w:r>
        <w:rPr>
          <w:u w:val="single"/>
        </w:rPr>
        <w:t xml:space="preserve">,</w:t>
      </w:r>
      <w:r>
        <w:rPr/>
        <w:t xml:space="preserve"> after proclaiming a state of emergency and prior to terminating such</w:t>
      </w:r>
      <w:r>
        <w:rPr>
          <w:u w:val="single"/>
        </w:rPr>
        <w:t xml:space="preserve">,</w:t>
      </w:r>
      <w:r>
        <w:rPr/>
        <w:t xml:space="preserve">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w:t>
      </w:r>
      <w:r>
        <w:t>((</w:t>
      </w:r>
      <w:r>
        <w:rPr>
          <w:strike/>
        </w:rPr>
        <w:t xml:space="preserve">(2)(g)</w:t>
      </w:r>
      <w:r>
        <w:t>))</w:t>
      </w:r>
      <w:r>
        <w:rPr/>
        <w:t xml:space="preserve">.</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w:t>
      </w:r>
      <w:r>
        <w:t>((</w:t>
      </w:r>
      <w:r>
        <w:rPr>
          <w:strike/>
        </w:rPr>
        <w:t xml:space="preserve">or</w:t>
      </w:r>
      <w:r>
        <w:t>))</w:t>
      </w:r>
      <w:r>
        <w:rPr/>
        <w:t xml:space="preserve"> of a law enforcement facility, or any place used for the confinement of a person (i) arrested for, charged with, or convicted of</w:t>
      </w:r>
      <w:r>
        <w:rPr>
          <w:u w:val="single"/>
        </w:rPr>
        <w:t xml:space="preserve">,</w:t>
      </w:r>
      <w:r>
        <w:rPr/>
        <w:t xml:space="preserve">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w:t>
      </w:r>
      <w:r>
        <w:rPr>
          <w:u w:val="single"/>
        </w:rPr>
        <w:t xml:space="preserve">,</w:t>
      </w:r>
      <w:r>
        <w:rPr/>
        <w:t xml:space="preserve"> and areas used to conduct court business, waiting areas, and corridors adjacent to areas used in connection with court proceedings. The restricted areas do not include common areas of ingress and egress to the building that is used in connection with court proceedings</w:t>
      </w:r>
      <w:r>
        <w:t>((</w:t>
      </w:r>
      <w:r>
        <w:rPr>
          <w:strike/>
        </w:rPr>
        <w:t xml:space="preserve">,</w:t>
      </w:r>
      <w:r>
        <w:t>))</w:t>
      </w:r>
      <w:r>
        <w:rPr/>
        <w:t xml:space="preserve"> when it is possible to protect court areas without restricting ingress and egress to the building. The restricted areas shall be the minimum necessary to fulfill the objective of this subsection </w:t>
      </w:r>
      <w:r>
        <w:t>((</w:t>
      </w:r>
      <w:r>
        <w:rPr>
          <w:strike/>
        </w:rPr>
        <w:t xml:space="preserve">(1)(b)</w:t>
      </w:r>
      <w:r>
        <w:t>))</w:t>
      </w:r>
      <w:r>
        <w:rPr/>
        <w:t xml:space="preserve">.</w:t>
      </w:r>
    </w:p>
    <w:p>
      <w:pPr>
        <w:spacing w:before="0" w:after="0" w:line="408" w:lineRule="exact"/>
        <w:ind w:left="0" w:right="0" w:firstLine="576"/>
        <w:jc w:val="left"/>
      </w:pPr>
      <w:r>
        <w:rPr/>
        <w:t xml:space="preserve">For purposes of this subsection </w:t>
      </w:r>
      <w:r>
        <w:t>((</w:t>
      </w:r>
      <w:r>
        <w:rPr>
          <w:strike/>
        </w:rPr>
        <w:t xml:space="preserve">(1)(b)</w:t>
      </w:r>
      <w:r>
        <w:t>))</w:t>
      </w:r>
      <w:r>
        <w:rPr/>
        <w:t xml:space="preserve">,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w:t>
      </w:r>
      <w:r>
        <w:t>((</w:t>
      </w:r>
      <w:r>
        <w:rPr>
          <w:strike/>
        </w:rPr>
        <w:t xml:space="preserve">,</w:t>
      </w:r>
      <w:r>
        <w:t>))</w:t>
      </w:r>
      <w:r>
        <w:rPr/>
        <w:t xml:space="preserve"> during the owner's visit to restricted areas of the building. The locked box or designated official shall be located within the same building used in connection with court proceedings. The local legislative authority shall be liable for any negligence causing damage to</w:t>
      </w:r>
      <w:r>
        <w:rPr>
          <w:u w:val="single"/>
        </w:rPr>
        <w:t xml:space="preserve">,</w:t>
      </w:r>
      <w:r>
        <w:rPr/>
        <w:t xml:space="preserve"> or loss of</w:t>
      </w:r>
      <w:r>
        <w:rPr>
          <w:u w:val="single"/>
        </w:rPr>
        <w:t xml:space="preserve">,</w:t>
      </w:r>
      <w:r>
        <w:rPr/>
        <w:t xml:space="preserve">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w:t>
      </w:r>
      <w:r>
        <w:rPr>
          <w:u w:val="single"/>
        </w:rPr>
        <w:t xml:space="preserve">, unless the establishment has as its primary source of revenue the sale of liquor for on-premises consumption</w:t>
      </w:r>
      <w:r>
        <w:rPr/>
        <w:t xml:space="preserv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w:t>
      </w:r>
      <w:r>
        <w:t>((</w:t>
      </w:r>
      <w:r>
        <w:rPr>
          <w:strike/>
        </w:rPr>
        <w:t xml:space="preserve">(3)(b)</w:t>
      </w:r>
      <w:r>
        <w:t>))</w:t>
      </w:r>
      <w:r>
        <w:rPr/>
        <w:t xml:space="preserve">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2019 c 248 s 3 and 2019 c 247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t>((</w:t>
      </w:r>
      <w:r>
        <w:rPr>
          <w:strike/>
        </w:rPr>
        <w:t xml:space="preserve">or at the time that charges are dismissed based on incompetency to stand trial under RCW 10.77.088 and the court makes a finding that the person has a history of one or more violent acts,</w:t>
      </w:r>
      <w:r>
        <w:t>))</w:t>
      </w:r>
      <w:r>
        <w:rPr/>
        <w:t xml:space="preserve"> the convicting or committing court</w:t>
      </w:r>
      <w:r>
        <w:t>((</w:t>
      </w:r>
      <w:r>
        <w:rPr>
          <w:strike/>
        </w:rPr>
        <w:t xml:space="preserve">, or court that dismisses charges,</w:t>
      </w:r>
      <w:r>
        <w:t>))</w:t>
      </w:r>
      <w:r>
        <w:rPr/>
        <w:t xml:space="preserve">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w:t>
      </w:r>
      <w:r>
        <w:rPr>
          <w:u w:val="single"/>
        </w:rPr>
        <w:t xml:space="preserve">convincing or committing</w:t>
      </w:r>
      <w:r>
        <w:rPr/>
        <w:t xml:space="preserve"> court shall forward within three judicial days after conviction</w:t>
      </w:r>
      <w:r>
        <w:t>((</w:t>
      </w:r>
      <w:r>
        <w:rPr>
          <w:strike/>
        </w:rPr>
        <w:t xml:space="preserve">,</w:t>
      </w:r>
      <w:r>
        <w:t>))</w:t>
      </w:r>
      <w:r>
        <w:rPr/>
        <w:t xml:space="preserve"> </w:t>
      </w:r>
      <w:r>
        <w:rPr>
          <w:u w:val="single"/>
        </w:rPr>
        <w:t xml:space="preserve">or</w:t>
      </w:r>
      <w:r>
        <w:rPr/>
        <w:t xml:space="preserve"> entry of the commitment order</w:t>
      </w:r>
      <w:r>
        <w:t>((</w:t>
      </w:r>
      <w:r>
        <w:rPr>
          <w:strike/>
        </w:rPr>
        <w:t xml:space="preserve">, or dismissal of charges,</w:t>
      </w:r>
      <w:r>
        <w:t>))</w:t>
      </w:r>
      <w:r>
        <w:rPr/>
        <w:t xml:space="preserve"> a copy of the person's driver's license or identicard, or comparable information, along with the date of conviction or commitment, </w:t>
      </w:r>
      <w:r>
        <w:t>((</w:t>
      </w:r>
      <w:r>
        <w:rPr>
          <w:strike/>
        </w:rPr>
        <w:t xml:space="preserve">or date charges are dismissed,</w:t>
      </w:r>
      <w:r>
        <w:t>))</w:t>
      </w:r>
      <w:r>
        <w:rPr/>
        <w:t xml:space="preserve"> to the department of licensing. When a person is committed by court order under RCW 71.05.240, 71.05.320, 71.34.740, 71.34.750, or chapter 10.77 RCW, for mental health treatment, </w:t>
      </w:r>
      <w:r>
        <w:t>((</w:t>
      </w:r>
      <w:r>
        <w:rPr>
          <w:strike/>
        </w:rPr>
        <w:t xml:space="preserve">or when a person's charges are dismissed based on incompetency to stand trial under RCW 10.77.088 and the court makes a finding that the person has a history of one or more violent acts,</w:t>
      </w:r>
      <w:r>
        <w:t>))</w:t>
      </w:r>
      <w:r>
        <w:rPr/>
        <w:t xml:space="preserve"> the </w:t>
      </w:r>
      <w:r>
        <w:rPr>
          <w:u w:val="single"/>
        </w:rPr>
        <w:t xml:space="preserve">committing</w:t>
      </w:r>
      <w:r>
        <w:rPr/>
        <w:t xml:space="preserve"> court also shall forward, within three judicial days after entry of the commitment order, </w:t>
      </w:r>
      <w:r>
        <w:t>((</w:t>
      </w:r>
      <w:r>
        <w:rPr>
          <w:strike/>
        </w:rPr>
        <w:t xml:space="preserve">or dismissal of charges,</w:t>
      </w:r>
      <w:r>
        <w:t>))</w:t>
      </w:r>
      <w:r>
        <w:rPr/>
        <w:t xml:space="preserve"> a copy of the person's driver's license, or comparable information, along with the date of commitment </w:t>
      </w:r>
      <w:r>
        <w:t>((</w:t>
      </w:r>
      <w:r>
        <w:rPr>
          <w:strike/>
        </w:rPr>
        <w:t xml:space="preserve">or date charges are dismissed</w:t>
      </w:r>
      <w:r>
        <w:t>))</w:t>
      </w:r>
      <w:r>
        <w:rPr/>
        <w:t xml:space="preserve">,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w:t>
      </w:r>
      <w:r>
        <w:t>((</w:t>
      </w:r>
      <w:r>
        <w:rPr>
          <w:strike/>
        </w:rPr>
        <w:t xml:space="preserve">, or the person whose charges are dismissed based on incompetency to stand trial,</w:t>
      </w:r>
      <w:r>
        <w:t>))</w:t>
      </w:r>
      <w:r>
        <w:rPr/>
        <w:t xml:space="preserve">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w:t>
      </w:r>
      <w:r>
        <w:t>((</w:t>
      </w:r>
      <w:r>
        <w:rPr>
          <w:strike/>
        </w:rPr>
        <w:t xml:space="preserve">or by reason of having been detained under RCW 71.05.150 or 71.05.153, or because the person's charges were dismissed based on incompetency to stand trial under RCW 10.77.088 and the court made a finding that the person has a history of one or more violent acts,</w:t>
      </w:r>
      <w:r>
        <w:t>))</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w:t>
      </w:r>
      <w:r>
        <w:t>((</w:t>
      </w:r>
      <w:r>
        <w:rPr>
          <w:strike/>
        </w:rPr>
        <w:t xml:space="preserve">or dismissed the charges based on incompetency to stand trial</w:t>
      </w:r>
      <w:r>
        <w:t>))</w:t>
      </w:r>
      <w:r>
        <w:rPr/>
        <w:t xml:space="preserve">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w:t>
      </w:r>
      <w:r>
        <w:t>((</w:t>
      </w:r>
      <w:r>
        <w:rPr>
          <w:strike/>
        </w:rPr>
        <w:t xml:space="preserve">or incompetency</w:t>
      </w:r>
      <w:r>
        <w:t>))</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w:t>
      </w:r>
      <w:r>
        <w:t>((</w:t>
      </w:r>
      <w:r>
        <w:rPr>
          <w:strike/>
        </w:rPr>
        <w:t xml:space="preserve">or incompetency</w:t>
      </w:r>
      <w:r>
        <w:t>))</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 </w:t>
      </w:r>
      <w:r>
        <w:t>((</w:t>
      </w:r>
      <w:r>
        <w:rPr>
          <w:strike/>
        </w:rPr>
        <w:t xml:space="preserve">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r>
        <w:t>))</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2019 c 367 s 5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r>
        <w:t>((</w:t>
      </w:r>
      <w:r>
        <w:rPr>
          <w:strike/>
        </w:rPr>
        <w:t xml:space="preserve">, unless the firearm was seized in connection with a domestic violence call pursuant to RCW 10.99.030, in which case the law enforcement agency must ensure that five business days have elapsed from the time the firearm was obtained</w:t>
      </w:r>
      <w:r>
        <w:t>))</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2019 c 367 s 1 and 2019 c 110 s 2 are each reenacted and amended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w:t>
      </w:r>
      <w:r>
        <w:t>((</w:t>
      </w:r>
      <w:r>
        <w:rPr>
          <w:strike/>
        </w:rPr>
        <w:t xml:space="preserve">shall:</w:t>
      </w:r>
    </w:p>
    <w:p>
      <w:pPr>
        <w:spacing w:before="0" w:after="0" w:line="408" w:lineRule="exact"/>
        <w:ind w:left="0" w:right="0" w:firstLine="576"/>
        <w:jc w:val="left"/>
      </w:pPr>
      <w:r>
        <w:rPr>
          <w:strike/>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strike/>
        </w:rPr>
        <w:t xml:space="preserve">(ii) Seize all firearms in plain sight or discovered pursuant to a lawful search; and</w:t>
      </w:r>
    </w:p>
    <w:p>
      <w:pPr>
        <w:spacing w:before="0" w:after="0" w:line="408" w:lineRule="exact"/>
        <w:ind w:left="0" w:right="0" w:firstLine="576"/>
        <w:jc w:val="left"/>
      </w:pPr>
      <w:r>
        <w:rPr>
          <w:strike/>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strike/>
        </w:rPr>
        <w:t xml:space="preserve">(b) The peace officer</w:t>
      </w:r>
      <w:r>
        <w:t>))</w:t>
      </w:r>
      <w:r>
        <w:rPr/>
        <w:t xml:space="preserve">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t>((</w:t>
      </w:r>
      <w:r>
        <w:rPr>
          <w:strike/>
        </w:rPr>
        <w:t xml:space="preserve">(d) A law enforcement agency shall comply with the provisions of RCW 9.41.340 and 9.41.345 before the return of any firearm or ammunition seized under this subsection to the owner or individual from who the firearm or ammunition was obtained.</w:t>
      </w:r>
      <w:r>
        <w:t>))</w:t>
      </w:r>
    </w:p>
    <w:p>
      <w:pPr>
        <w:spacing w:before="0" w:after="0" w:line="408" w:lineRule="exact"/>
        <w:ind w:left="0" w:right="0" w:firstLine="576"/>
        <w:jc w:val="left"/>
      </w:pPr>
      <w:r>
        <w:rPr/>
        <w:t xml:space="preserve">(4)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and concealed pistol license in the abuser's possession or control to law enforcement and prohibiting the abuser from possessing or accessing firearms or a concealed pistol license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(5) The peace officer may offer, arrange, or facilitate transportation for the victim to a hospital for treatment of injuries or to a place of safety or shelter.</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Records kept pursuant to subsections </w:t>
      </w:r>
      <w:r>
        <w:t>((</w:t>
      </w:r>
      <w:r>
        <w:rPr>
          <w:strike/>
        </w:rPr>
        <w:t xml:space="preserve">(6)</w:t>
      </w:r>
      <w:r>
        <w:t>))</w:t>
      </w:r>
      <w:r>
        <w:rPr/>
        <w:t xml:space="preserve"> </w:t>
      </w:r>
      <w:r>
        <w:rPr>
          <w:u w:val="single"/>
        </w:rPr>
        <w:t xml:space="preserve">(2)</w:t>
      </w:r>
      <w:r>
        <w:rPr/>
        <w:t xml:space="preserve"> and </w:t>
      </w:r>
      <w:r>
        <w:t>((</w:t>
      </w:r>
      <w:r>
        <w:rPr>
          <w:strike/>
        </w:rPr>
        <w:t xml:space="preserve">(10)</w:t>
      </w:r>
      <w:r>
        <w:t>))</w:t>
      </w:r>
      <w:r>
        <w:rPr/>
        <w:t xml:space="preserve"> </w:t>
      </w:r>
      <w:r>
        <w:rPr>
          <w:u w:val="single"/>
        </w:rPr>
        <w:t xml:space="preserve">(7)</w:t>
      </w:r>
      <w:r>
        <w:rPr/>
        <w:t xml:space="preserve"> of this section shall be made identifiable by means of a departmental code for domestic violence.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r>
        <w:t>((</w:t>
      </w:r>
      <w:r>
        <w:rPr>
          <w:strike/>
        </w:rPr>
        <w:t xml:space="preserve">, and shall order the defendant to surrender, and prohibit the person from possessing, all firearms, dangerous weapons, and any concealed pistol license as required in RCW 9.41.800</w:t>
      </w:r>
      <w:r>
        <w:t>))</w:t>
      </w:r>
      <w:r>
        <w:rPr/>
        <w:t xml:space="preserve">.</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w:t>
      </w:r>
      <w:r>
        <w:t>((</w:t>
      </w:r>
      <w:r>
        <w:rPr>
          <w:strike/>
        </w:rPr>
        <w:t xml:space="preserve">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strike/>
        </w:rPr>
        <w:t xml:space="preserve">(c)</w:t>
      </w:r>
      <w:r>
        <w:t>))</w:t>
      </w:r>
      <w:r>
        <w:rPr/>
        <w:t xml:space="preserve">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090</w:t>
      </w:r>
      <w:r>
        <w:rPr/>
        <w:t xml:space="preserve"> and 2019 c 245 s 4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nonconsensual sexual conduct or nonconsensual sexual penetration by the respondent, the court shall issue a sexual assault protection order; provided that the petitioner must also satisfy the requirements of RCW 7.90.110 for ex parte temporary orders or RCW 7.90.120 for final orders.</w:t>
      </w:r>
    </w:p>
    <w:p>
      <w:pPr>
        <w:spacing w:before="0" w:after="0" w:line="408" w:lineRule="exact"/>
        <w:ind w:left="0" w:right="0" w:firstLine="576"/>
        <w:jc w:val="left"/>
      </w:pPr>
      <w:r>
        <w:rPr/>
        <w:t xml:space="preserve">(b) The petitioner shall not be denied a sexual assault protection order because the petitioner or the respondent is a minor or because the petitioner did not report the assault to law enforcement. The court, when determining whether or not to issue a sexual assault protection order, may not require proof of physical injury on the person of the victim or proof that the petitioner has reported the sexual assault to law enforcement. Modification and extension of prior sexual assault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or school of a child, if the victim is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 and</w:t>
      </w:r>
    </w:p>
    <w:p>
      <w:pPr>
        <w:spacing w:before="0" w:after="0" w:line="408" w:lineRule="exact"/>
        <w:ind w:left="0" w:right="0" w:firstLine="576"/>
        <w:jc w:val="left"/>
      </w:pPr>
      <w:r>
        <w:rPr/>
        <w:t xml:space="preserve">(d) Order any other injunctive relief as necessary or appropriate for the protection of the petitioner.</w:t>
      </w:r>
    </w:p>
    <w:p>
      <w:pPr>
        <w:spacing w:before="0" w:after="0" w:line="408" w:lineRule="exact"/>
        <w:ind w:left="0" w:right="0" w:firstLine="576"/>
        <w:jc w:val="left"/>
      </w:pPr>
      <w:r>
        <w:rPr/>
        <w:t xml:space="preserve">(3) </w:t>
      </w:r>
      <w:r>
        <w:t>((</w:t>
      </w:r>
      <w:r>
        <w:rPr>
          <w:strik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strike/>
        </w:rPr>
        <w:t xml:space="preserve">(4)</w:t>
      </w:r>
      <w:r>
        <w:t>))</w:t>
      </w:r>
      <w:r>
        <w:rPr/>
        <w:t xml:space="preserve"> In cases where the petitioner and the respondent are under the age of eighteen and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under the age of eighteen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Denial of a remedy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Monetary damages are not recoverable as a remedy.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110</w:t>
      </w:r>
      <w:r>
        <w:rPr/>
        <w:t xml:space="preserve"> and 2019 c 245 s 5 are each amended to read as follows:</w:t>
      </w:r>
    </w:p>
    <w:p>
      <w:pPr>
        <w:spacing w:before="0" w:after="0" w:line="408" w:lineRule="exact"/>
        <w:ind w:left="0" w:right="0" w:firstLine="576"/>
        <w:jc w:val="left"/>
      </w:pPr>
      <w:r>
        <w:rPr/>
        <w:t xml:space="preserve">(1) An ex parte temporary sexual assault protection order shall issue if the petitioner satisfies the requirements of this subsection by a preponderance of the evidence. The petitioner shall establish that:</w:t>
      </w:r>
    </w:p>
    <w:p>
      <w:pPr>
        <w:spacing w:before="0" w:after="0" w:line="408" w:lineRule="exact"/>
        <w:ind w:left="0" w:right="0" w:firstLine="576"/>
        <w:jc w:val="left"/>
      </w:pPr>
      <w:r>
        <w:rPr/>
        <w:t xml:space="preserve">(a) The petitioner has been a victim of nonconsensual sexual conduct or nonconsensual sexual penetration by the respondent; and</w:t>
      </w:r>
    </w:p>
    <w:p>
      <w:pPr>
        <w:spacing w:before="0" w:after="0" w:line="408" w:lineRule="exact"/>
        <w:ind w:left="0" w:right="0" w:firstLine="576"/>
        <w:jc w:val="left"/>
      </w:pPr>
      <w:r>
        <w:rPr/>
        <w:t xml:space="preserve">(b) There is good cause to grant the remedy, regardless of the lack of prior service of process or of notice upon the respondent, because the harm which that remedy is intended to prevent would be likely to occur if the respondent were given any prior notice, or greater notice than was actually given, of the petitioner's efforts to obtain judicial relief.</w:t>
      </w:r>
    </w:p>
    <w:p>
      <w:pPr>
        <w:spacing w:before="0" w:after="0" w:line="408" w:lineRule="exact"/>
        <w:ind w:left="0" w:right="0" w:firstLine="576"/>
        <w:jc w:val="left"/>
      </w:pPr>
      <w:r>
        <w:rPr/>
        <w:t xml:space="preserve">(2) </w:t>
      </w:r>
      <w:r>
        <w:t>((</w:t>
      </w:r>
      <w:r>
        <w:rPr>
          <w:strik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strike/>
        </w:rPr>
        <w:t xml:space="preserve">(3)</w:t>
      </w:r>
      <w:r>
        <w:t>))</w:t>
      </w:r>
      <w:r>
        <w:rPr/>
        <w:t xml:space="preserve"> If the respondent appears in court for this hearing for an ex parte temporary order, he or she may elect to file a general appearance and testify under oath. Any resulting order may be an ex parte temporary order, governed by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court declines to issue an ex parte temporary sexual assault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100</w:t>
      </w:r>
      <w:r>
        <w:rPr/>
        <w:t xml:space="preserve"> and 2019 c 245 s 7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stalking conduct by the respondent, the court shall issue a stalking protection order.</w:t>
      </w:r>
    </w:p>
    <w:p>
      <w:pPr>
        <w:spacing w:before="0" w:after="0" w:line="408" w:lineRule="exact"/>
        <w:ind w:left="0" w:right="0" w:firstLine="576"/>
        <w:jc w:val="left"/>
      </w:pPr>
      <w:r>
        <w:rPr/>
        <w:t xml:space="preserve">(b) The petitioner shall not be denied a stalking protection order because the petitioner or the respondent is a minor or because the petitioner did not report the stalking conduct to law enforcement. The court, when determining whether or not to issue a stalking protection order, may not require proof of the respondent's intentions regarding the acts alleged by the petitioner. Modification and extension of prior stalking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workplace, or school of the petitioner's minor children;</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Prohibit the respondent from keeping the petitioner and/or the petitioner's minor children under surveillance, to include electronic surveillance;</w:t>
      </w:r>
    </w:p>
    <w:p>
      <w:pPr>
        <w:spacing w:before="0" w:after="0" w:line="408" w:lineRule="exact"/>
        <w:ind w:left="0" w:right="0" w:firstLine="576"/>
        <w:jc w:val="left"/>
      </w:pPr>
      <w:r>
        <w:rPr/>
        <w:t xml:space="preserve">(e) Order any other injunctive relief as necessary or appropriate for the protection of the petitioner, to include a mental health and/or chemical dependency evaluation; and</w:t>
      </w:r>
    </w:p>
    <w:p>
      <w:pPr>
        <w:spacing w:before="0" w:after="0" w:line="408" w:lineRule="exact"/>
        <w:ind w:left="0" w:right="0" w:firstLine="576"/>
        <w:jc w:val="left"/>
      </w:pPr>
      <w:r>
        <w:rPr/>
        <w:t xml:space="preserve">(f) Require the respondent to pay the administrative court costs and service fees, as established by the county or municipality incurring the expense and to reimburse the petitioner for costs incurred in bringing the action, including reasonable attorneys' fees.</w:t>
      </w:r>
    </w:p>
    <w:p>
      <w:pPr>
        <w:spacing w:before="0" w:after="0" w:line="408" w:lineRule="exact"/>
        <w:ind w:left="0" w:right="0" w:firstLine="576"/>
        <w:jc w:val="left"/>
      </w:pPr>
      <w:r>
        <w:rPr/>
        <w:t xml:space="preserve">(3) </w:t>
      </w:r>
      <w:r>
        <w:t>((</w:t>
      </w:r>
      <w:r>
        <w:rPr>
          <w:strik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strike/>
        </w:rPr>
        <w:t xml:space="preserve">(4)</w:t>
      </w:r>
      <w:r>
        <w:t>))</w:t>
      </w:r>
      <w:r>
        <w:rPr/>
        <w:t xml:space="preserve"> Unless otherwise stated in the order, when a person is petitioning on behalf of a minor child or vulnerable adult, the relief authorized in this section shall apply only for the protection of the victim, and not the petitioner.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cases where the petitioner and the respondent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120</w:t>
      </w:r>
      <w:r>
        <w:rPr/>
        <w:t xml:space="preserve"> and 2019 c 245 s 8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stalking conduct and that irreparable injury could result if an order is not issued immediately without prior notice, the court may grant an ex parte temporary order for protection, pending a full hearing and grant such injunctive relief as it deems proper, including the relief as specified under RCW 7.92.100 (2)(a) through (d) and (4).</w:t>
      </w:r>
    </w:p>
    <w:p>
      <w:pPr>
        <w:spacing w:before="0" w:after="0" w:line="408" w:lineRule="exact"/>
        <w:ind w:left="0" w:right="0" w:firstLine="576"/>
        <w:jc w:val="left"/>
      </w:pPr>
      <w:r>
        <w:rPr/>
        <w:t xml:space="preserve">(2) Irreparable injury under this section includes, but is not limited to, situations in which the respondent has recently threatened the petitioner with bodily injury or has engaged in acts of stalking conduct against the petitioner.</w:t>
      </w:r>
    </w:p>
    <w:p>
      <w:pPr>
        <w:spacing w:before="0" w:after="0" w:line="408" w:lineRule="exact"/>
        <w:ind w:left="0" w:right="0" w:firstLine="576"/>
        <w:jc w:val="left"/>
      </w:pPr>
      <w:r>
        <w:rPr/>
        <w:t xml:space="preserve">(3) </w:t>
      </w:r>
      <w:r>
        <w:t>((</w:t>
      </w:r>
      <w:r>
        <w:rPr>
          <w:strik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strike/>
        </w:rPr>
        <w:t xml:space="preserve">(4)</w:t>
      </w:r>
      <w:r>
        <w:t>))</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 ex parte temporary stalking protection order shall be effective for a fixed period not to exceed fourteen days or twenty-four days if the court has permitted service by publication or mail. The ex parte order may be reissued. A full hearing, as provided in this chapter, shall be set for not later than fourteen days from the issuance of the temporary order or not later than twenty-four days if service by publication or by mail is permitted. Unless the court has permitted service by publication or mail, the respondent shall be personally served with a copy of the ex parte order along with a copy of the petition and notice of the date set for the hearing.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the court declines to issue an ex parte temporary stalking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080</w:t>
      </w:r>
      <w:r>
        <w:rPr/>
        <w:t xml:space="preserve"> and 2019 c 245 s 11 and 2019 c 46 s 5011 are each reenacted and amended to read as follows:</w:t>
      </w:r>
    </w:p>
    <w:p>
      <w:pPr>
        <w:spacing w:before="0" w:after="0" w:line="408" w:lineRule="exact"/>
        <w:ind w:left="0" w:right="0" w:firstLine="576"/>
        <w:jc w:val="left"/>
      </w:pPr>
      <w:r>
        <w:rPr/>
        <w:t xml:space="preserve">(1) Upon filing a petition for a civil antiharassment protection order under this chapter, the petitioner may obtain an ex parte temporary antiharassment protection order. An ex parte temporary antiharassment protection order may be granted with or without notice upon the filing of an affidavit which, to the satisfaction of the court, shows reasonable proof of unlawful harassment of the petitioner by the respondent and that great or irreparable harm will result to the petitioner if the temporary antiharassment protection order is not granted. If the court declines to issue an ex parte temporary antiharassment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rPr/>
        <w:t xml:space="preserve">(2) An ex parte temporary antiharassment protection order shall be effective for a fixed period not to exceed fourteen days or twenty-four days if the court has permitted service by publication under RCW 10.14.085. The ex parte order may be reissued. A full hearing, as provided in this chapter, shall be set for not later than fourteen days from the issuance of the temporary order or not later than twenty-four days if service by publication is permitted. Except as provided in RCW 10.14.070 and 10.14.085, the respondent shall be personally served with a copy of the ex parte order along with a copy of the petition and notice of the date set for the hearing. The ex parte order and notice of hearing shall include at a minimum the date and time of the hearing set by the court to determine if the temporary order should be made effective for one year or more, and notice that if the respondent should fail to appear or otherwise not respond, an order for protection will be issued against the respondent pursuant to the provisions of this chapter, for a minimum of one year from the date of the hearing. The notice shall also include a brief statement of the provisions of the ex parte order and notify the respondent that a copy of the ex parte order and notice of hearing has been filed with the clerk of the court.</w:t>
      </w:r>
    </w:p>
    <w:p>
      <w:pPr>
        <w:spacing w:before="0" w:after="0" w:line="408" w:lineRule="exact"/>
        <w:ind w:left="0" w:right="0" w:firstLine="576"/>
        <w:jc w:val="left"/>
      </w:pPr>
      <w:r>
        <w:rPr/>
        <w:t xml:space="preserve">(3) At the hearing, if the court finds by a preponderance of the evidence that unlawful harassment exists, a civil antiharassment protection order shall issue prohibiting such unlawful harassment.</w:t>
      </w:r>
    </w:p>
    <w:p>
      <w:pPr>
        <w:spacing w:before="0" w:after="0" w:line="408" w:lineRule="exact"/>
        <w:ind w:left="0" w:right="0" w:firstLine="576"/>
        <w:jc w:val="left"/>
      </w:pPr>
      <w:r>
        <w:rPr/>
        <w:t xml:space="preserve">(4) An order issued under this chapter shall be effective for not more than one year unless the court finds that the respondent is likely to resume unlawful harassment of the petitioner when the order expires. If so, the court may enter an order for a fixed time exceeding one year or may enter a permanent antiharassment protection order. The court shall not enter an order that is effective for more than one year if the order restrains the respondent from contacting the respondent's minor children. This limitation is not applicable to civil antiharassment protection orders issued under chapter 26.09, 26.10, 26.26A, or 26.26B RCW. If the petitioner seeks relief for a period longer than one year on behalf of the respondent's minor children, the court shall advise the petitioner that the petitioner may apply for renewal of the order as provided in this chapter or if appropriate may seek relief pursuant to chapter 26.09 or 26.10 RCW.</w:t>
      </w:r>
    </w:p>
    <w:p>
      <w:pPr>
        <w:spacing w:before="0" w:after="0" w:line="408" w:lineRule="exact"/>
        <w:ind w:left="0" w:right="0" w:firstLine="576"/>
        <w:jc w:val="left"/>
      </w:pPr>
      <w:r>
        <w:rPr/>
        <w:t xml:space="preserve">(5) At any time within the three months before the expiration of the order, the petitioner may apply for a renewal of the order by filing a petition for renewal. The petition for renewal shall state the reasons why the petitioner seeks to renew the protection order. Upon receipt of the petition for renewal, the court shall order a hearing which shall be not later than fourteen days from the date of the order. Except as provided in RCW 10.14.085, personal service shall be made upon the respondent not less than five days before the hearing. If timely service cannot be made the court shall set a new hearing date and shall either require additional attempts at obtaining personal service or permit service by publication as provided by RCW 10.14.085. If the court permits service by publication, the court shall set the new hearing date not later than twenty-four days from the date of the order. If the order expires because timely service cannot be made the court shall grant an ex parte order of protection as provided in this section. The court shall grant the petition for renewal unless the respondent proves by a preponderance of the evidence that the respondent will not resume harassment of the petitioner when the order expires. The court may renew the protection order for another fixed time period or may enter a permanent order as provided in subsection (4) of this section.</w:t>
      </w:r>
    </w:p>
    <w:p>
      <w:pPr>
        <w:spacing w:before="0" w:after="0" w:line="408" w:lineRule="exact"/>
        <w:ind w:left="0" w:right="0" w:firstLine="576"/>
        <w:jc w:val="left"/>
      </w:pPr>
      <w:r>
        <w:rPr/>
        <w:t xml:space="preserve">(6) The court, in granting an ex parte temporary antiharassment protection order or a civil antiharassment protection order, shall have broad discretion to grant such relief as the court deems proper, including an order:</w:t>
      </w:r>
    </w:p>
    <w:p>
      <w:pPr>
        <w:spacing w:before="0" w:after="0" w:line="408" w:lineRule="exact"/>
        <w:ind w:left="0" w:right="0" w:firstLine="576"/>
        <w:jc w:val="left"/>
      </w:pPr>
      <w:r>
        <w:rPr/>
        <w:t xml:space="preserve">(a) Restraining the respondent from making any attempts to contact the petitioner;</w:t>
      </w:r>
    </w:p>
    <w:p>
      <w:pPr>
        <w:spacing w:before="0" w:after="0" w:line="408" w:lineRule="exact"/>
        <w:ind w:left="0" w:right="0" w:firstLine="576"/>
        <w:jc w:val="left"/>
      </w:pPr>
      <w:r>
        <w:rPr/>
        <w:t xml:space="preserve">(b) Restraining the respondent from making any attempts to keep the petitioner under surveillance; and</w:t>
      </w:r>
    </w:p>
    <w:p>
      <w:pPr>
        <w:spacing w:before="0" w:after="0" w:line="408" w:lineRule="exact"/>
        <w:ind w:left="0" w:right="0" w:firstLine="576"/>
        <w:jc w:val="left"/>
      </w:pPr>
      <w:r>
        <w:rPr/>
        <w:t xml:space="preserve">(c) Requiring the respondent to stay a stated distance from the petitioner's residence and workplace.</w:t>
      </w:r>
    </w:p>
    <w:p>
      <w:pPr>
        <w:spacing w:before="0" w:after="0" w:line="408" w:lineRule="exact"/>
        <w:ind w:left="0" w:right="0" w:firstLine="576"/>
        <w:jc w:val="left"/>
      </w:pPr>
      <w:r>
        <w:rPr/>
        <w:t xml:space="preserve">(7) </w:t>
      </w:r>
      <w:r>
        <w:t>((</w:t>
      </w:r>
      <w:r>
        <w:rPr>
          <w:strik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strike/>
        </w:rPr>
        <w:t xml:space="preserve">(8)</w:t>
      </w:r>
      <w:r>
        <w:t>))</w:t>
      </w:r>
      <w:r>
        <w:rPr/>
        <w:t xml:space="preserve"> The court in granting an ex parte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court in granting an ex parte temporary antiharassment protection order or a civil antiharassment protection order shall not prohibit the respondent from the use or enjoyment of real property to which the respondent has a cognizable claim unless that order is issued under chapter 26.09 RCW or under a separate action commenced with a summons and complaint to determine title or possession of real property.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court in granting an ex parte temporary antiharassment protection order or a civil antiharassment protection order shall not limit the respondent's right to care, control, or custody of the respondent's minor child, unless that order is issued under chapter 13.32A, 26.09, 26.10, 26.26A, or 26.26B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court order shall specify the date an order issued pursuant to subsections (4) and (5) of this section expires if any. The court order shall also state whether the court issued the protection order following personal service or service by publication and whether the court has approved service by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2019 c 245 s 14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and</w:t>
      </w:r>
    </w:p>
    <w:p>
      <w:pPr>
        <w:spacing w:before="0" w:after="0" w:line="408" w:lineRule="exact"/>
        <w:ind w:left="0" w:right="0" w:firstLine="576"/>
        <w:jc w:val="left"/>
      </w:pPr>
      <w:r>
        <w:rPr/>
        <w:t xml:space="preserve">(f)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w:t>
      </w:r>
      <w:r>
        <w:t>((</w:t>
      </w:r>
      <w:r>
        <w:rPr>
          <w:strik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strike/>
        </w:rPr>
        <w:t xml:space="preserve">(3)</w:t>
      </w:r>
      <w:r>
        <w:t>))</w:t>
      </w:r>
      <w:r>
        <w:rPr/>
        <w:t xml:space="preserve">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 ex parte temporary order for protection shall be effective for a fixed period not to exceed fourteen days or twenty-four days if the court has permitted service by publication under RCW 26.50.085 or by mail under RCW 26.50.123. The ex parte temporary order may be reissued. A full hearing, as provided in this chapter, shall be set for not later than fourteen days from the issuance of the ex parte temporary order or not later than twenty-four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the court declines to issue an ex parte temporary order for protection the court shall state the particular reasons for the court's denial. The court's denial of a motion for an ex parte temporary order for protection shall be filed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2019 c 245 s 17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w:t>
      </w:r>
      <w:r>
        <w:t>((</w:t>
      </w:r>
      <w:r>
        <w:rPr>
          <w:strike/>
        </w:rPr>
        <w:t xml:space="preserve">, and shall order the respondent to surrender, and prohibit the respondent from possessing, all firearms, dangerous weapons, and any concealed pistol license as required in RCW 9.41.800</w:t>
      </w:r>
      <w:r>
        <w:t>))</w:t>
      </w:r>
      <w:r>
        <w:rPr/>
        <w:t xml:space="preserv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41</w:t>
      </w:r>
      <w:r>
        <w:rPr/>
        <w:t xml:space="preserve">.</w:t>
      </w:r>
      <w:r>
        <w:t xml:space="preserve">049</w:t>
      </w:r>
      <w:r>
        <w:rPr/>
        <w:t xml:space="preserve"> (Persons who present likelihood of serious harm</w:t>
      </w:r>
      <w:r>
        <w:rPr>
          <w:rFonts w:ascii="Times New Roman" w:hAnsi="Times New Roman"/>
        </w:rPr>
        <w:t xml:space="preserve">—</w:t>
      </w:r>
      <w:r>
        <w:rPr/>
        <w:t xml:space="preserve">Possession rights) and 2019 c 247 s 2;</w:t>
      </w:r>
    </w:p>
    <w:p>
      <w:pPr>
        <w:spacing w:before="0" w:after="0" w:line="408" w:lineRule="exact"/>
        <w:ind w:left="0" w:right="0" w:firstLine="576"/>
        <w:jc w:val="left"/>
      </w:pPr>
      <w:r>
        <w:t>(2)</w:t>
      </w:r>
      <w:r>
        <w:rPr/>
        <w:t xml:space="preserve">RCW </w:t>
      </w:r>
      <w:r>
        <w:t xml:space="preserve">9</w:t>
      </w:r>
      <w:r>
        <w:rPr/>
        <w:t xml:space="preserve">.</w:t>
      </w:r>
      <w:r>
        <w:t xml:space="preserve">41</w:t>
      </w:r>
      <w:r>
        <w:rPr/>
        <w:t xml:space="preserve">.</w:t>
      </w:r>
      <w:r>
        <w:t xml:space="preserve">092</w:t>
      </w:r>
      <w:r>
        <w:rPr/>
        <w:t xml:space="preserve"> (Licensed dealer deliveries</w:t>
      </w:r>
      <w:r>
        <w:rPr>
          <w:rFonts w:ascii="Times New Roman" w:hAnsi="Times New Roman"/>
        </w:rPr>
        <w:t xml:space="preserve">—</w:t>
      </w:r>
      <w:r>
        <w:rPr/>
        <w:t xml:space="preserve">Background checks) and 2019 c 3 s 4 (Initiative Measure No. 1639), 2018 c 145 s 4, &amp; 2015 c 1 s 4;</w:t>
      </w:r>
    </w:p>
    <w:p>
      <w:pPr>
        <w:spacing w:before="0" w:after="0" w:line="408" w:lineRule="exact"/>
        <w:ind w:left="0" w:right="0" w:firstLine="576"/>
        <w:jc w:val="left"/>
      </w:pPr>
      <w:r>
        <w:t>(3)</w:t>
      </w:r>
      <w:r>
        <w:rPr/>
        <w:t xml:space="preserve">RCW </w:t>
      </w:r>
      <w:r>
        <w:t xml:space="preserve">9</w:t>
      </w:r>
      <w:r>
        <w:rPr/>
        <w:t xml:space="preserve">.</w:t>
      </w:r>
      <w:r>
        <w:t xml:space="preserve">41</w:t>
      </w:r>
      <w:r>
        <w:rPr/>
        <w:t xml:space="preserve">.</w:t>
      </w:r>
      <w:r>
        <w:t xml:space="preserve">113</w:t>
      </w:r>
      <w:r>
        <w:rPr/>
        <w:t xml:space="preserve"> (Firearm sales or transfers</w:t>
      </w:r>
      <w:r>
        <w:rPr>
          <w:rFonts w:ascii="Times New Roman" w:hAnsi="Times New Roman"/>
        </w:rPr>
        <w:t xml:space="preserve">—</w:t>
      </w:r>
      <w:r>
        <w:rPr/>
        <w:t xml:space="preserve">Background checks</w:t>
      </w:r>
      <w:r>
        <w:rPr>
          <w:rFonts w:ascii="Times New Roman" w:hAnsi="Times New Roman"/>
        </w:rPr>
        <w:t xml:space="preserve">—</w:t>
      </w:r>
      <w:r>
        <w:rPr/>
        <w:t xml:space="preserve">Requirements</w:t>
      </w:r>
      <w:r>
        <w:rPr>
          <w:rFonts w:ascii="Times New Roman" w:hAnsi="Times New Roman"/>
        </w:rPr>
        <w:t xml:space="preserve">—</w:t>
      </w:r>
      <w:r>
        <w:rPr/>
        <w:t xml:space="preserve">Exceptions) and 2019 c 3 s 11 (Initiative Measure No. 1639), 2017 c 264 s 2, &amp; 2015 c 1 s 3;</w:t>
      </w:r>
    </w:p>
    <w:p>
      <w:pPr>
        <w:spacing w:before="0" w:after="0" w:line="408" w:lineRule="exact"/>
        <w:ind w:left="0" w:right="0" w:firstLine="576"/>
        <w:jc w:val="left"/>
      </w:pPr>
      <w:r>
        <w:t>(4)</w:t>
      </w:r>
      <w:r>
        <w:rPr/>
        <w:t xml:space="preserve">RCW </w:t>
      </w:r>
      <w:r>
        <w:t xml:space="preserve">9</w:t>
      </w:r>
      <w:r>
        <w:rPr/>
        <w:t xml:space="preserve">.</w:t>
      </w:r>
      <w:r>
        <w:t xml:space="preserve">41</w:t>
      </w:r>
      <w:r>
        <w:rPr/>
        <w:t xml:space="preserve">.</w:t>
      </w:r>
      <w:r>
        <w:t xml:space="preserve">115</w:t>
      </w:r>
      <w:r>
        <w:rPr/>
        <w:t xml:space="preserve"> (Penalties</w:t>
      </w:r>
      <w:r>
        <w:rPr>
          <w:rFonts w:ascii="Times New Roman" w:hAnsi="Times New Roman"/>
        </w:rPr>
        <w:t xml:space="preserve">—</w:t>
      </w:r>
      <w:r>
        <w:rPr/>
        <w:t xml:space="preserve">Violations of RCW 9.41.113) and 2015 c 1 s 9;</w:t>
      </w:r>
    </w:p>
    <w:p>
      <w:pPr>
        <w:spacing w:before="0" w:after="0" w:line="408" w:lineRule="exact"/>
        <w:ind w:left="0" w:right="0" w:firstLine="576"/>
        <w:jc w:val="left"/>
      </w:pPr>
      <w:r>
        <w:t>(5)</w:t>
      </w:r>
      <w:r>
        <w:rPr/>
        <w:t xml:space="preserve">RCW </w:t>
      </w:r>
      <w:r>
        <w:t xml:space="preserve">9</w:t>
      </w:r>
      <w:r>
        <w:rPr/>
        <w:t xml:space="preserve">.</w:t>
      </w:r>
      <w:r>
        <w:t xml:space="preserve">41</w:t>
      </w:r>
      <w:r>
        <w:rPr/>
        <w:t xml:space="preserve">.</w:t>
      </w:r>
      <w:r>
        <w:t xml:space="preserve">137</w:t>
      </w:r>
      <w:r>
        <w:rPr/>
        <w:t xml:space="preserve"> (Department of licensing, authority to adopt rules</w:t>
      </w:r>
      <w:r>
        <w:rPr>
          <w:rFonts w:ascii="Times New Roman" w:hAnsi="Times New Roman"/>
        </w:rPr>
        <w:t xml:space="preserve">—</w:t>
      </w:r>
      <w:r>
        <w:rPr/>
        <w:t xml:space="preserve">Reporting of violations</w:t>
      </w:r>
      <w:r>
        <w:rPr>
          <w:rFonts w:ascii="Times New Roman" w:hAnsi="Times New Roman"/>
        </w:rPr>
        <w:t xml:space="preserve">—</w:t>
      </w:r>
      <w:r>
        <w:rPr/>
        <w:t xml:space="preserve">Authority to revoke licenses) and 2015 c 1 s 8;</w:t>
      </w:r>
    </w:p>
    <w:p>
      <w:pPr>
        <w:spacing w:before="0" w:after="0" w:line="408" w:lineRule="exact"/>
        <w:ind w:left="0" w:right="0" w:firstLine="576"/>
        <w:jc w:val="left"/>
      </w:pPr>
      <w:r>
        <w:t>(6)</w:t>
      </w:r>
      <w:r>
        <w:rPr/>
        <w:t xml:space="preserve">RCW </w:t>
      </w:r>
      <w:r>
        <w:t xml:space="preserve">9</w:t>
      </w:r>
      <w:r>
        <w:rPr/>
        <w:t xml:space="preserve">.</w:t>
      </w:r>
      <w:r>
        <w:t xml:space="preserve">41</w:t>
      </w:r>
      <w:r>
        <w:rPr/>
        <w:t xml:space="preserve">.</w:t>
      </w:r>
      <w:r>
        <w:t xml:space="preserve">139</w:t>
      </w:r>
      <w:r>
        <w:rPr/>
        <w:t xml:space="preserve"> (Department of licensing</w:t>
      </w:r>
      <w:r>
        <w:rPr>
          <w:rFonts w:ascii="Times New Roman" w:hAnsi="Times New Roman"/>
        </w:rPr>
        <w:t xml:space="preserve">—</w:t>
      </w:r>
      <w:r>
        <w:rPr/>
        <w:t xml:space="preserve">Eligibility to possess firearms) and 2019 c 3 s 15 (Initiative Measure No. 1639);</w:t>
      </w:r>
    </w:p>
    <w:p>
      <w:pPr>
        <w:spacing w:before="0" w:after="0" w:line="408" w:lineRule="exact"/>
        <w:ind w:left="0" w:right="0" w:firstLine="576"/>
        <w:jc w:val="left"/>
      </w:pPr>
      <w:r>
        <w:t>(7)</w:t>
      </w:r>
      <w:r>
        <w:rPr/>
        <w:t xml:space="preserve">RCW </w:t>
      </w:r>
      <w:r>
        <w:t xml:space="preserve">9</w:t>
      </w:r>
      <w:r>
        <w:rPr/>
        <w:t xml:space="preserve">.</w:t>
      </w:r>
      <w:r>
        <w:t xml:space="preserve">41</w:t>
      </w:r>
      <w:r>
        <w:rPr/>
        <w:t xml:space="preserve">.</w:t>
      </w:r>
      <w:r>
        <w:t xml:space="preserve">360</w:t>
      </w:r>
      <w:r>
        <w:rPr/>
        <w:t xml:space="preserve"> (Unsafe storage of a firearm) and 2019 c 3 s 5 (Initiative Measure No. 1639);</w:t>
      </w:r>
    </w:p>
    <w:p>
      <w:pPr>
        <w:spacing w:before="0" w:after="0" w:line="408" w:lineRule="exact"/>
        <w:ind w:left="0" w:right="0" w:firstLine="576"/>
        <w:jc w:val="left"/>
      </w:pPr>
      <w:r>
        <w:t>(8)</w:t>
      </w:r>
      <w:r>
        <w:rPr/>
        <w:t xml:space="preserve">RCW </w:t>
      </w:r>
      <w:r>
        <w:t xml:space="preserve">9</w:t>
      </w:r>
      <w:r>
        <w:rPr/>
        <w:t xml:space="preserve">.</w:t>
      </w:r>
      <w:r>
        <w:t xml:space="preserve">41</w:t>
      </w:r>
      <w:r>
        <w:rPr/>
        <w:t xml:space="preserve">.</w:t>
      </w:r>
      <w:r>
        <w:t xml:space="preserve">365</w:t>
      </w:r>
      <w:r>
        <w:rPr/>
        <w:t xml:space="preserve"> (Firearm security and storage</w:t>
      </w:r>
      <w:r>
        <w:rPr>
          <w:rFonts w:ascii="Times New Roman" w:hAnsi="Times New Roman"/>
        </w:rPr>
        <w:t xml:space="preserve">—</w:t>
      </w:r>
      <w:r>
        <w:rPr/>
        <w:t xml:space="preserve">Requirements for dealers) and 2019 c 3 s 6 (Initiative Measure No. 1639);</w:t>
      </w:r>
    </w:p>
    <w:p>
      <w:pPr>
        <w:spacing w:before="0" w:after="0" w:line="408" w:lineRule="exact"/>
        <w:ind w:left="0" w:right="0" w:firstLine="576"/>
        <w:jc w:val="left"/>
      </w:pPr>
      <w:r>
        <w:t>(9)</w:t>
      </w:r>
      <w:r>
        <w:rPr/>
        <w:t xml:space="preserve">RCW </w:t>
      </w:r>
      <w:r>
        <w:t xml:space="preserve">71</w:t>
      </w:r>
      <w:r>
        <w:rPr/>
        <w:t xml:space="preserve">.</w:t>
      </w:r>
      <w:r>
        <w:t xml:space="preserve">05</w:t>
      </w:r>
      <w:r>
        <w:rPr/>
        <w:t xml:space="preserve">.</w:t>
      </w:r>
      <w:r>
        <w:t xml:space="preserve">182</w:t>
      </w:r>
      <w:r>
        <w:rPr/>
        <w:t xml:space="preserve"> (Six-month suspension of right to possess firearms after seventy-two-hour detention for evaluation and treatment of person who presents likelihood of serious harm as a result of mental disorder, substance use disorder, or both</w:t>
      </w:r>
      <w:r>
        <w:rPr>
          <w:rFonts w:ascii="Times New Roman" w:hAnsi="Times New Roman"/>
        </w:rPr>
        <w:t xml:space="preserve">—</w:t>
      </w:r>
      <w:r>
        <w:rPr/>
        <w:t xml:space="preserve">Automatic restoration of right at expiration of six-month period) and 2019 c 247 s 1;</w:t>
      </w:r>
    </w:p>
    <w:p>
      <w:pPr>
        <w:spacing w:before="0" w:after="0" w:line="408" w:lineRule="exact"/>
        <w:ind w:left="0" w:right="0" w:firstLine="576"/>
        <w:jc w:val="left"/>
      </w:pPr>
      <w:r>
        <w:t>(10)</w:t>
      </w:r>
      <w:r>
        <w:rPr/>
        <w:t xml:space="preserve">RCW </w:t>
      </w:r>
      <w:r>
        <w:t xml:space="preserve">82</w:t>
      </w:r>
      <w:r>
        <w:rPr/>
        <w:t xml:space="preserve">.</w:t>
      </w:r>
      <w:r>
        <w:t xml:space="preserve">08</w:t>
      </w:r>
      <w:r>
        <w:rPr/>
        <w:t xml:space="preserve">.</w:t>
      </w:r>
      <w:r>
        <w:t xml:space="preserve">833</w:t>
      </w:r>
      <w:r>
        <w:rPr/>
        <w:t xml:space="preserve"> (Exemptions</w:t>
      </w:r>
      <w:r>
        <w:rPr>
          <w:rFonts w:ascii="Times New Roman" w:hAnsi="Times New Roman"/>
        </w:rPr>
        <w:t xml:space="preserve">—</w:t>
      </w:r>
      <w:r>
        <w:rPr/>
        <w:t xml:space="preserve">Sales or transfers of firearms</w:t>
      </w:r>
      <w:r>
        <w:rPr>
          <w:rFonts w:ascii="Times New Roman" w:hAnsi="Times New Roman"/>
        </w:rPr>
        <w:t xml:space="preserve">—</w:t>
      </w:r>
      <w:r>
        <w:rPr/>
        <w:t xml:space="preserve">Unlicensed persons</w:t>
      </w:r>
      <w:r>
        <w:rPr>
          <w:rFonts w:ascii="Times New Roman" w:hAnsi="Times New Roman"/>
        </w:rPr>
        <w:t xml:space="preserve">—</w:t>
      </w:r>
      <w:r>
        <w:rPr/>
        <w:t xml:space="preserve">Background check requirements) and 2015 c 1 s 10; and</w:t>
      </w:r>
    </w:p>
    <w:p>
      <w:pPr>
        <w:spacing w:before="0" w:after="0" w:line="408" w:lineRule="exact"/>
        <w:ind w:left="0" w:right="0" w:firstLine="576"/>
        <w:jc w:val="left"/>
      </w:pPr>
      <w:r>
        <w:t>(11)</w:t>
      </w:r>
      <w:r>
        <w:rPr/>
        <w:t xml:space="preserve">2019 c 244 s 2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personal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right to personal protection and self-defense, as provided by the Second Amendment of the United States Constitution and Article I, section 24 of the state Constitution, shall not be abridged in any form. This includes, but is not limited to, any laws or regulations that:</w:t>
      </w:r>
    </w:p>
    <w:p>
      <w:pPr>
        <w:spacing w:before="0" w:after="0" w:line="408" w:lineRule="exact"/>
        <w:ind w:left="0" w:right="0" w:firstLine="576"/>
        <w:jc w:val="left"/>
      </w:pPr>
      <w:r>
        <w:rPr/>
        <w:t xml:space="preserve">(a) Restrict the ability of a person who is over the age of eighteen to purchase, possess, or access a pistol, rifle, assault weapon, shotgun, ammunition, magazine of any capacity, or firearm accessory;</w:t>
      </w:r>
    </w:p>
    <w:p>
      <w:pPr>
        <w:spacing w:before="0" w:after="0" w:line="408" w:lineRule="exact"/>
        <w:ind w:left="0" w:right="0" w:firstLine="576"/>
        <w:jc w:val="left"/>
      </w:pPr>
      <w:r>
        <w:rPr/>
        <w:t xml:space="preserve">(b) Mandate a state background check be completed before the lawful sale or purchase of any item described in (a) of this subsection; and</w:t>
      </w:r>
    </w:p>
    <w:p>
      <w:pPr>
        <w:spacing w:before="0" w:after="0" w:line="408" w:lineRule="exact"/>
        <w:ind w:left="0" w:right="0" w:firstLine="576"/>
        <w:jc w:val="left"/>
      </w:pPr>
      <w:r>
        <w:rPr/>
        <w:t xml:space="preserve">(c) Limit a person's ability to protect themselves or their property while that person is located in their residence.</w:t>
      </w:r>
    </w:p>
    <w:p>
      <w:pPr>
        <w:spacing w:before="0" w:after="0" w:line="408" w:lineRule="exact"/>
        <w:ind w:left="0" w:right="0" w:firstLine="576"/>
        <w:jc w:val="left"/>
      </w:pPr>
      <w:r>
        <w:rPr/>
        <w:t xml:space="preserve">(2) This act shall not restrict the power of the state to enact reasonable laws and regulations that impose limits on the ability of convicted felons or the mentally incompetent to purchase, possess, or access firearms.</w:t>
      </w:r>
    </w:p>
    <w:p/>
    <w:p>
      <w:pPr>
        <w:jc w:val="center"/>
      </w:pPr>
      <w:r>
        <w:rPr>
          <w:b/>
        </w:rPr>
        <w:t>--- END ---</w:t>
      </w:r>
    </w:p>
    <w:sectPr>
      <w:pgNumType w:start="1"/>
      <w:footerReference xmlns:r="http://schemas.openxmlformats.org/officeDocument/2006/relationships" r:id="R149a6ccd8ba347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bfa9ad82034e78" /><Relationship Type="http://schemas.openxmlformats.org/officeDocument/2006/relationships/footer" Target="/word/footer1.xml" Id="R149a6ccd8ba347f8" /></Relationships>
</file>