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843c8fc19e43da" /></Relationships>
</file>

<file path=word/document.xml><?xml version="1.0" encoding="utf-8"?>
<w:document xmlns:w="http://schemas.openxmlformats.org/wordprocessingml/2006/main">
  <w:body>
    <w:p>
      <w:r>
        <w:t>S-6350.1</w:t>
      </w:r>
    </w:p>
    <w:p>
      <w:pPr>
        <w:jc w:val="center"/>
      </w:pPr>
      <w:r>
        <w:t>_______________________________________________</w:t>
      </w:r>
    </w:p>
    <w:p/>
    <w:p>
      <w:pPr>
        <w:jc w:val="center"/>
      </w:pPr>
      <w:r>
        <w:rPr>
          <w:b/>
        </w:rPr>
        <w:t>SUBSTITUTE SENATE BILL 6676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Frockt, Randall, Rolfes, Darneille, Braun, Billig, Salomon, Stanford, Dhingra, Van De Wege, Brown, Carlyle, Cleveland, Conway, Das, Hasegawa, Keiser, King, Kuderer, Liias, Lovelett, McCoy, Mullet, Nguyen, Pedersen, Wellman,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primary care services for medicaid beneficiaries;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beginning January 1, 2021, medicaid payment for primary care services that are reimbursed solely at the existing medical assistance rates, furnished by a nurse practitioner, naturopath, physician assistant, osteopathic physician assistant, physician, or osteopathic physician, on a fee-for-service basis as well as through managed health care systems, must be at least fifteen percent above medical assistance rates as in effect on January 1, 2019.</w:t>
      </w:r>
    </w:p>
    <w:p>
      <w:pPr>
        <w:spacing w:before="0" w:after="0" w:line="408" w:lineRule="exact"/>
        <w:ind w:left="0" w:right="0" w:firstLine="576"/>
        <w:jc w:val="left"/>
      </w:pPr>
      <w:r>
        <w:rPr/>
        <w:t xml:space="preserve">(2) Beginning January 1, 2021, medicaid payment for pediatric critical care, neonatal critical care, and neonatal intensive care services that are reimbursed solely at the existing medical assistance rates, furnished by a nurse practitioner, naturopath, physician assistant, osteopathic physician assistant, physician, or osteopathic physician, on a fee-for-service basis as well as through managed health care systems, must be at least twenty-one percent above medical assistance rates as in effect on January 1, 2019.</w:t>
      </w:r>
    </w:p>
    <w:p>
      <w:pPr>
        <w:spacing w:before="0" w:after="0" w:line="408" w:lineRule="exact"/>
        <w:ind w:left="0" w:right="0" w:firstLine="576"/>
        <w:jc w:val="left"/>
      </w:pPr>
      <w:r>
        <w:rPr/>
        <w:t xml:space="preserve">(3) The authority must apply reimbursement rates required under this 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(4) The authority must pursue a state plan amendment to require medicaid managed care organizations to increase rates under this section through adoption of a uniform percentage increase for network providers pursuant to 42 C.F.R. Sec. 438.6(c)(1)(iii)(B), as existing on January 1, 2020.</w:t>
      </w:r>
    </w:p>
    <w:p/>
    <w:p>
      <w:pPr>
        <w:jc w:val="center"/>
      </w:pPr>
      <w:r>
        <w:rPr>
          <w:b/>
        </w:rPr>
        <w:t>--- END ---</w:t>
      </w:r>
    </w:p>
    <w:sectPr>
      <w:pgNumType w:start="1"/>
      <w:footerReference xmlns:r="http://schemas.openxmlformats.org/officeDocument/2006/relationships" r:id="R745c18f8f10a45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058419477472d" /><Relationship Type="http://schemas.openxmlformats.org/officeDocument/2006/relationships/footer" Target="/word/footer1.xml" Id="R745c18f8f10a4598" /></Relationships>
</file>