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a951a1d52e42bf" /></Relationships>
</file>

<file path=word/document.xml><?xml version="1.0" encoding="utf-8"?>
<w:document xmlns:w="http://schemas.openxmlformats.org/wordprocessingml/2006/main">
  <w:body>
    <w:p>
      <w:r>
        <w:t>S-1002.1</w:t>
      </w:r>
    </w:p>
    <w:p>
      <w:pPr>
        <w:jc w:val="center"/>
      </w:pPr>
      <w:r>
        <w:t>_______________________________________________</w:t>
      </w:r>
    </w:p>
    <w:p/>
    <w:p>
      <w:pPr>
        <w:jc w:val="center"/>
      </w:pPr>
      <w:r>
        <w:rPr>
          <w:b/>
        </w:rPr>
        <w:t>SENATE JOINT RESOLUTION 8205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Brown, Becker, Fortunato, Schoesler, Warnick, Braun, and Wilson, L.</w:t>
      </w:r>
    </w:p>
    <w:p/>
    <w:p>
      <w:r>
        <w:rPr>
          <w:t xml:space="preserve">Read first time 01/25/19.  </w:t>
        </w:rPr>
      </w:r>
      <w:r>
        <w:rPr>
          <w:t xml:space="preserve">Referred to Committee on Law &amp; Justice.</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IV of the Constitution of the state of Washington by adding a new section to read as follows:</w:t>
      </w:r>
    </w:p>
    <w:p>
      <w:pPr>
        <w:spacing w:before="0" w:after="0" w:line="408" w:lineRule="exact"/>
        <w:ind w:left="0" w:right="0" w:firstLine="576"/>
        <w:jc w:val="left"/>
      </w:pPr>
      <w:r>
        <w:rPr/>
        <w:t xml:space="preserve">Article IV, section . . .. (1) Authorization. In addition to the other courts authorized in this article, judicial power is vested in a tax court to be established by statute.</w:t>
      </w:r>
    </w:p>
    <w:p>
      <w:pPr>
        <w:spacing w:before="0" w:after="0" w:line="408" w:lineRule="exact"/>
        <w:ind w:left="0" w:right="0" w:firstLine="576"/>
        <w:jc w:val="left"/>
      </w:pPr>
      <w:r>
        <w:rPr/>
        <w:t xml:space="preserve">(2) Jurisdiction. The tax court will have jurisdiction over tax disputes as provided by statute. Nothing in this section limits the original jurisdiction of superior courts in cases involving the legality of any tax, impost, or assessment and nothing in this section precludes the legislature from authorizing concurrent jurisdiction over such matters in the tax court.</w:t>
      </w:r>
    </w:p>
    <w:p>
      <w:pPr>
        <w:spacing w:before="0" w:after="0" w:line="408" w:lineRule="exact"/>
        <w:ind w:left="0" w:right="0" w:firstLine="576"/>
        <w:jc w:val="left"/>
      </w:pPr>
      <w:r>
        <w:rPr/>
        <w:t xml:space="preserve">(3) Review. Tax court decisions may be reviewed by the supreme court as provided by statute or by rule authorized by statute.</w:t>
      </w:r>
    </w:p>
    <w:p>
      <w:pPr>
        <w:spacing w:before="0" w:after="0" w:line="408" w:lineRule="exact"/>
        <w:ind w:left="0" w:right="0" w:firstLine="576"/>
        <w:jc w:val="left"/>
      </w:pPr>
      <w:r>
        <w:rPr/>
        <w:t xml:space="preserve">(4) Judges. The number, manner of election, compensation, terms of office, removal and retirement of judges of the tax court shall be as provided by statute.</w:t>
      </w:r>
    </w:p>
    <w:p>
      <w:pPr>
        <w:spacing w:before="0" w:after="0" w:line="408" w:lineRule="exact"/>
        <w:ind w:left="0" w:right="0" w:firstLine="576"/>
        <w:jc w:val="left"/>
      </w:pPr>
      <w:r>
        <w:rPr/>
        <w:t xml:space="preserve">(5) Administration and Procedure. The administration and procedures of the tax court shall be as provided by statute or, if not so provided, by rules issued by the tax court.</w:t>
      </w:r>
    </w:p>
    <w:p>
      <w:pPr>
        <w:spacing w:before="0" w:after="0" w:line="408" w:lineRule="exact"/>
        <w:ind w:left="0" w:right="0" w:firstLine="576"/>
        <w:jc w:val="left"/>
      </w:pPr>
      <w:r>
        <w:rPr/>
        <w:t xml:space="preserve">(6) Conflicts. The provisions of this section supersede any conflicting provisions in prior sections of this article.</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15a7b720c9f7405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aca979185e4835" /><Relationship Type="http://schemas.openxmlformats.org/officeDocument/2006/relationships/footer" Target="/word/footer1.xml" Id="R15a7b720c9f74057" /></Relationships>
</file>