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de2200a324456" /></Relationships>
</file>

<file path=word/document.xml><?xml version="1.0" encoding="utf-8"?>
<w:document xmlns:w="http://schemas.openxmlformats.org/wordprocessingml/2006/main">
  <w:body>
    <w:p>
      <w:r>
        <w:t>S-7515.1</w:t>
      </w:r>
    </w:p>
    <w:p>
      <w:pPr>
        <w:jc w:val="center"/>
      </w:pPr>
      <w:r>
        <w:t>_______________________________________________</w:t>
      </w:r>
    </w:p>
    <w:p/>
    <w:p>
      <w:pPr>
        <w:jc w:val="center"/>
      </w:pPr>
      <w:r>
        <w:rPr>
          <w:b/>
        </w:rPr>
        <w:t>SENATE JOINT RESOLUTION 8219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Padden, Ericksen, Zeiger, Braun, O'Ban, Sheldon, Warnick, Honeyford, Walsh, Short, Rivers, Wilson, L., and Holy</w:t>
      </w:r>
    </w:p>
    <w:p/>
    <w:p>
      <w:r>
        <w:rPr>
          <w:t xml:space="preserve">Read first time 03/06/20.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w:t>
      </w:r>
      <w:r>
        <w:t>((</w:t>
      </w:r>
      <w:r>
        <w:rPr>
          <w:strike/>
        </w:rPr>
        <w:t xml:space="preserve">All real estate shall constitute one class: </w:t>
      </w:r>
      <w:r>
        <w:rPr>
          <w:i/>
          <w:strike/>
        </w:rPr>
        <w:t xml:space="preserve">Provided,</w:t>
      </w:r>
      <w:r>
        <w:rPr>
          <w:strike/>
        </w:rPr>
        <w:t xml:space="preserve"> That the legislature may tax mines and mineral resources and lands devoted to reforestation by either a yield tax or an ad valorem tax at such rate as it may fix, or by both</w:t>
      </w:r>
      <w:r>
        <w:t>))</w:t>
      </w:r>
      <w:r>
        <w:rPr/>
        <w:t xml:space="preserve"> </w:t>
      </w:r>
      <w:r>
        <w:rPr>
          <w:u w:val="single"/>
        </w:rPr>
        <w:t xml:space="preserve">For taxes levied for collection in 2022 and thereafter, the assessed value of residential property shall not exceed the true and fair value of the property on January 1, 2020, or January 1st of the year in which there is a change in ownership, plus the true and fair value of new construction and improvements to property after this date</w:t>
      </w:r>
      <w:r>
        <w:rPr/>
        <w:t xml:space="preserve">.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68fb343ee9f4b9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7805f349543f3" /><Relationship Type="http://schemas.openxmlformats.org/officeDocument/2006/relationships/footer" Target="/word/footer1.xml" Id="Re68fb343ee9f4b9a" /></Relationships>
</file>