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2aec40217f48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5063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83</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Nguyen, Hasegawa, Billig, Carlyle, Cleveland, Conway, Darneille, Frockt, Palumbo, Hunt, Wilson, C., Pedersen, Keiser, Kuderer, Saldaña, Mullet, and Takko; by request of Governor Inslee)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all election ballots; amending RCW 29A.04.420 and 29A.40.091;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while the cost of ballot return postage may only be a small amount, passing the burden along to Washington's citizens, many of whom no longer need stamps in their everyday lives, is an unnecessary barrier to fully participate in the democratic process. The legislature further finds that in order to continue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required to be included on return envelopes pursuant to RCW 29A.40.091,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u w:val="single"/>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e859cb694b7741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4ed5c7b7354c17" /><Relationship Type="http://schemas.openxmlformats.org/officeDocument/2006/relationships/footer" Target="/word/footer1.xml" Id="Re859cb694b7741d0" /></Relationships>
</file>