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9838985b2c45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5127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2019</w:t>
            </w:r>
          </w:p>
          <w:p>
            <w:pPr>
              <w:ind w:left="0" w:right="0" w:firstLine="360"/>
            </w:pPr>
            <w:r>
              <w:t xml:space="preserve">Yeas </w:t>
              <w:t xml:space="preserve">47</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10, 2019</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5127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5127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McCoy, Billig, Darneille, Hunt, Rolfes, and Schoesler)</w:t>
      </w:r>
    </w:p>
    <w:p/>
    <w:p>
      <w:r>
        <w:rPr>
          <w:t xml:space="preserve">READ FIRST TIME 02/27/19.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traumatic brain injury fee; amending RCW 46.63.110, 74.31.060, and 74.31.020;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110</w:t>
      </w:r>
      <w:r>
        <w:rPr/>
        <w:t xml:space="preserve"> and 2012 c 82 s 1 are each amended to read as follows:</w:t>
      </w:r>
    </w:p>
    <w:p>
      <w:pPr>
        <w:spacing w:before="0" w:after="0" w:line="408" w:lineRule="exact"/>
        <w:ind w:left="0" w:right="0" w:firstLine="576"/>
        <w:jc w:val="left"/>
      </w:pPr>
      <w:r>
        <w:rPr/>
        <w:t xml:space="preserve">(1) A person found to have committed a traffic infraction shall be assessed a monetary penalty. No penalty may exceed two hundred and fifty dollars for each offense unless authorized by this chapter or title.</w:t>
      </w:r>
    </w:p>
    <w:p>
      <w:pPr>
        <w:spacing w:before="0" w:after="0" w:line="408" w:lineRule="exact"/>
        <w:ind w:left="0" w:right="0" w:firstLine="576"/>
        <w:jc w:val="left"/>
      </w:pPr>
      <w:r>
        <w:rPr/>
        <w:t xml:space="preserve">(2) The monetary penalty for a violation of (a) RCW 46.55.105(2) is two hundred fifty dollars for each offense; (b) RCW 46.61.210(1) is five hundred dollars for each offense. No penalty assessed under this subsection (2) may be reduced.</w:t>
      </w:r>
    </w:p>
    <w:p>
      <w:pPr>
        <w:spacing w:before="0" w:after="0" w:line="408" w:lineRule="exact"/>
        <w:ind w:left="0" w:right="0" w:firstLine="576"/>
        <w:jc w:val="left"/>
      </w:pPr>
      <w:r>
        <w:rPr/>
        <w:t xml:space="preserve">(3) The supreme court shall prescribe by rule a schedule of monetary penalties for designated traffic infractions. This rule shall also specify the conditions under which local courts may exercise discretion in assessing fines and penalties for traffic infractions. The legislature respectfully requests the supreme court to adjust this schedule every two years for inflation.</w:t>
      </w:r>
    </w:p>
    <w:p>
      <w:pPr>
        <w:spacing w:before="0" w:after="0" w:line="408" w:lineRule="exact"/>
        <w:ind w:left="0" w:right="0" w:firstLine="576"/>
        <w:jc w:val="left"/>
      </w:pPr>
      <w:r>
        <w:rPr/>
        <w:t xml:space="preserve">(4) There shall be a penalty of twenty-five dollars for failure to respond to a notice of traffic infraction except where the infraction relates to parking as defined by local law, ordinance, regulation, or resolution or failure to pay a monetary penalty imposed pursuant to this chapter. A local legislative body may set a monetary penalty not to exceed twenty-five dollars for failure to respond to a notice of traffic infraction relating to parking as defined by local law, ordinance, regulation, or resolution. The local court, whether a municipal, police, or district court, shall impose the monetary penalty set by the local legislative body.</w:t>
      </w:r>
    </w:p>
    <w:p>
      <w:pPr>
        <w:spacing w:before="0" w:after="0" w:line="408" w:lineRule="exact"/>
        <w:ind w:left="0" w:right="0" w:firstLine="576"/>
        <w:jc w:val="left"/>
      </w:pPr>
      <w:r>
        <w:rPr/>
        <w:t xml:space="preserve">(5) Monetary penalties provided for in chapter 46.70 RCW which are civil in nature and penalties which may be assessed for violations of chapter 46.44 RCW relating to size, weight, and load of motor vehicles are not subject to the limitation on the amount of monetary penalties which may be imposed pursuant to this chapter.</w:t>
      </w:r>
    </w:p>
    <w:p>
      <w:pPr>
        <w:spacing w:before="0" w:after="0" w:line="408" w:lineRule="exact"/>
        <w:ind w:left="0" w:right="0" w:firstLine="576"/>
        <w:jc w:val="left"/>
      </w:pPr>
      <w:r>
        <w:rPr/>
        <w:t xml:space="preserve">(6) Whenever a monetary penalty, fee, cost, assessment, or other monetary obligation is imposed by a court under this chapter, it is immediately payable and is enforceable as a civil judgment under Title 6 RCW. If the court determines, in its discretion, that a person is not able to pay a monetary obligation in full, and not more than one year has passed since the later of July 1, 2005, or the date the monetary obligation initially became due and payable, the court shall enter into a payment plan with the person, unless the person has previously been granted a payment plan with respect to the same monetary obligation, or unless the person is in noncompliance of any existing or prior payment plan, in which case the court may, at its discretion, implement a payment plan. If the court has notified the department that the person has failed to pay or comply and the person has subsequently entered into a payment plan and made an initial payment, the court shall notify the department that the infraction has been adjudicated, and the department shall rescind any suspension of the person's driver's license or driver's privilege based on failure to respond to that infraction. "Payment plan," as used in this section, means a plan that requires reasonable payments based on the financial ability of the person to pay. The person may voluntarily pay an amount at any time in addition to the payments required under the payment plan.</w:t>
      </w:r>
    </w:p>
    <w:p>
      <w:pPr>
        <w:spacing w:before="0" w:after="0" w:line="408" w:lineRule="exact"/>
        <w:ind w:left="0" w:right="0" w:firstLine="576"/>
        <w:jc w:val="left"/>
      </w:pPr>
      <w:r>
        <w:rPr/>
        <w:t xml:space="preserve">(a) If a payment required to be made under the payment plan is delinquent or the person fails to complete a community restitution program on or before the time established under the payment plan, unless the court determines good cause therefor and adjusts the payment plan or the community restitution plan accordingly, the court may refer the unpaid monetary penalty, fee, cost, assessment, or other monetary obligation for civil enforcement until all monetary obligations, including those imposed under subsections (3) and (4) of this section, have been paid, and court authorized community restitution has been completed, or until the court has entered into a new time payment or community restitution agreement with the person. For those infractions subject to suspension under RCW 46.20.289, the court shall notify the department of the person's failure to meet the conditions of the plan, and the department shall suspend the person's driver's license or driving privileges.</w:t>
      </w:r>
    </w:p>
    <w:p>
      <w:pPr>
        <w:spacing w:before="0" w:after="0" w:line="408" w:lineRule="exact"/>
        <w:ind w:left="0" w:right="0" w:firstLine="576"/>
        <w:jc w:val="left"/>
      </w:pPr>
      <w:r>
        <w:rPr/>
        <w:t xml:space="preserve">(b) If a person has not entered into a payment plan with the court and has not paid the monetary obligation in full on or before the time established for payment, the court may refer the unpaid monetary penalty, fee, cost, assessment, or other monetary obligation to a collections agency until all monetary obligations have been paid, including those imposed under subsections (3) and (4) of this section, or until the person has entered into a payment plan under this section. For those infractions subject to suspension under RCW 46.20.289, the court shall notify the department of the person's delinquency, and the department shall suspend the person's driver's license or driving privileges.</w:t>
      </w:r>
    </w:p>
    <w:p>
      <w:pPr>
        <w:spacing w:before="0" w:after="0" w:line="408" w:lineRule="exact"/>
        <w:ind w:left="0" w:right="0" w:firstLine="576"/>
        <w:jc w:val="left"/>
      </w:pPr>
      <w:r>
        <w:rPr/>
        <w:t xml:space="preserve">(c) If the payment plan is to be administered by the court, the court may assess the person a reasonable administrative fee to be wholly retained by the city or county with jurisdiction. The administrative fee shall not exceed ten dollars per infraction or twenty-five dollars per payment plan, whichever is less.</w:t>
      </w:r>
    </w:p>
    <w:p>
      <w:pPr>
        <w:spacing w:before="0" w:after="0" w:line="408" w:lineRule="exact"/>
        <w:ind w:left="0" w:right="0" w:firstLine="576"/>
        <w:jc w:val="left"/>
      </w:pPr>
      <w:r>
        <w:rPr/>
        <w:t xml:space="preserve">(d) Nothing in this section precludes a court from contracting with outside entities to administer its payment plan system. When outside entities are used for the administration of a payment plan, the court may assess the person a reasonable fee for such administrative services, which fee may be calculated on a periodic, percentage, or other basis.</w:t>
      </w:r>
    </w:p>
    <w:p>
      <w:pPr>
        <w:spacing w:before="0" w:after="0" w:line="408" w:lineRule="exact"/>
        <w:ind w:left="0" w:right="0" w:firstLine="576"/>
        <w:jc w:val="left"/>
      </w:pPr>
      <w:r>
        <w:rPr/>
        <w:t xml:space="preserve">(e) If a court authorized community restitution program for offenders is available in the jurisdiction, the court may allow conversion of all or part of the monetary obligations due under this section to court authorized community restitution in lieu of time payments if the person is unable to make reasonable time payments.</w:t>
      </w:r>
    </w:p>
    <w:p>
      <w:pPr>
        <w:spacing w:before="0" w:after="0" w:line="408" w:lineRule="exact"/>
        <w:ind w:left="0" w:right="0" w:firstLine="576"/>
        <w:jc w:val="left"/>
      </w:pPr>
      <w:r>
        <w:rPr/>
        <w:t xml:space="preserve">(7) In addition to any other penalties imposed under this section and not subject to the limitation of subsection (1) of this section, a person found to have committed a traffic infraction shall be assessed:</w:t>
      </w:r>
    </w:p>
    <w:p>
      <w:pPr>
        <w:spacing w:before="0" w:after="0" w:line="408" w:lineRule="exact"/>
        <w:ind w:left="0" w:right="0" w:firstLine="576"/>
        <w:jc w:val="left"/>
      </w:pPr>
      <w:r>
        <w:rPr/>
        <w:t xml:space="preserve">(a) A fee of five dollars per infraction. Under no circumstances shall this fee be reduced or waived. Revenue from this fee shall be forwarded to the state treasurer for deposit in the emergency medical services and trauma care system trust account under RCW 70.168.040;</w:t>
      </w:r>
    </w:p>
    <w:p>
      <w:pPr>
        <w:spacing w:before="0" w:after="0" w:line="408" w:lineRule="exact"/>
        <w:ind w:left="0" w:right="0" w:firstLine="576"/>
        <w:jc w:val="left"/>
      </w:pPr>
      <w:r>
        <w:rPr/>
        <w:t xml:space="preserve">(b) A fee of ten dollars per infraction. Under no circumstances shall this fee be reduced or waived. Revenue from this fee shall be forwarded to the state treasurer for deposit in the Washington auto theft prevention authority account; and</w:t>
      </w:r>
    </w:p>
    <w:p>
      <w:pPr>
        <w:spacing w:before="0" w:after="0" w:line="408" w:lineRule="exact"/>
        <w:ind w:left="0" w:right="0" w:firstLine="576"/>
        <w:jc w:val="left"/>
      </w:pPr>
      <w:r>
        <w:rPr/>
        <w:t xml:space="preserve">(c) A fee of </w:t>
      </w:r>
      <w:r>
        <w:t>((</w:t>
      </w:r>
      <w:r>
        <w:rPr>
          <w:strike/>
        </w:rPr>
        <w:t xml:space="preserve">two</w:t>
      </w:r>
      <w:r>
        <w:t>))</w:t>
      </w:r>
      <w:r>
        <w:rPr/>
        <w:t xml:space="preserve"> </w:t>
      </w:r>
      <w:r>
        <w:rPr>
          <w:u w:val="single"/>
        </w:rPr>
        <w:t xml:space="preserve">five</w:t>
      </w:r>
      <w:r>
        <w:rPr/>
        <w:t xml:space="preserve"> dollars per infraction. </w:t>
      </w:r>
      <w:r>
        <w:rPr>
          <w:u w:val="single"/>
        </w:rPr>
        <w:t xml:space="preserve">Under no circumstances shall this fee be reduced or waived.</w:t>
      </w:r>
      <w:r>
        <w:rPr/>
        <w:t xml:space="preserve"> Revenue from this fee shall be forwarded to the state treasurer for deposit in the traumatic brain injury account established in RCW 74.31.060.</w:t>
      </w:r>
    </w:p>
    <w:p>
      <w:pPr>
        <w:spacing w:before="0" w:after="0" w:line="408" w:lineRule="exact"/>
        <w:ind w:left="0" w:right="0" w:firstLine="576"/>
        <w:jc w:val="left"/>
      </w:pPr>
      <w:r>
        <w:rPr/>
        <w:t xml:space="preserve">(8)(a) In addition to any other penalties imposed under this section and not subject to the limitation of subsection (1) of this section, a person found to have committed a traffic infraction other than of RCW 46.61.527 or 46.61.212 shall be assessed an additional penalty of twenty dollars. The court may not reduce, waive, or suspend the additional penalty unless the court finds the offender to be indigent. If a court authorized community restitution program for offenders is available in the jurisdiction, the court shall allow offenders to offset all or a part of the penalty due under this subsection (8) by participation in the court authorized community restitution program.</w:t>
      </w:r>
    </w:p>
    <w:p>
      <w:pPr>
        <w:spacing w:before="0" w:after="0" w:line="408" w:lineRule="exact"/>
        <w:ind w:left="0" w:right="0" w:firstLine="576"/>
        <w:jc w:val="left"/>
      </w:pPr>
      <w:r>
        <w:rPr/>
        <w:t xml:space="preserve">(b) Eight dollars and fifty cents of the additional penalty under (a) of this subsection shall be remitted to the state treasurer. The remaining revenue from the additional penalty must be remitted under chapters 2.08, 3.46, 3.50, 3.62, 10.82, and 35.20 RCW. Money remitted under this subsection to the state treasurer must be deposited in the state general fund. The balance of the revenue received by the county or city treasurer under this subsection must be deposited into the county or city current expense fund. Moneys retained by the city or county under this subsection shall constitute reimbursement for any liabilities under RCW 43.135.060.</w:t>
      </w:r>
    </w:p>
    <w:p>
      <w:pPr>
        <w:spacing w:before="0" w:after="0" w:line="408" w:lineRule="exact"/>
        <w:ind w:left="0" w:right="0" w:firstLine="576"/>
        <w:jc w:val="left"/>
      </w:pPr>
      <w:r>
        <w:rPr/>
        <w:t xml:space="preserve">(9) If a legal proceeding, such as garnishment, has commenced to collect any delinquent amount owed by the person for any penalty imposed by the court under this section, the court may, at its discretion, enter into a payment plan.</w:t>
      </w:r>
    </w:p>
    <w:p>
      <w:pPr>
        <w:spacing w:before="0" w:after="0" w:line="408" w:lineRule="exact"/>
        <w:ind w:left="0" w:right="0" w:firstLine="576"/>
        <w:jc w:val="left"/>
      </w:pPr>
      <w:r>
        <w:rPr/>
        <w:t xml:space="preserve">(10) The monetary penalty for violating RCW 46.37.395 is: (a) Two hundred fifty dollars for the first violation; (b) five hundred dollars for the second violation; and (c) seven hundred fifty dollars for each violation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060</w:t>
      </w:r>
      <w:r>
        <w:rPr/>
        <w:t xml:space="preserve"> and 2011 c 143 s 6 are each amended to read as follows:</w:t>
      </w:r>
    </w:p>
    <w:p>
      <w:pPr>
        <w:spacing w:before="0" w:after="0" w:line="408" w:lineRule="exact"/>
        <w:ind w:left="0" w:right="0" w:firstLine="576"/>
        <w:jc w:val="left"/>
      </w:pPr>
      <w:r>
        <w:rPr/>
        <w:t xml:space="preserve">The traumatic brain injury account is created in the state treasury. </w:t>
      </w:r>
      <w:r>
        <w:t>((</w:t>
      </w:r>
      <w:r>
        <w:rPr>
          <w:strike/>
        </w:rPr>
        <w:t xml:space="preserve">Two dollars of</w:t>
      </w:r>
      <w:r>
        <w:t>))</w:t>
      </w:r>
      <w:r>
        <w:rPr/>
        <w:t xml:space="preserve"> </w:t>
      </w:r>
      <w:r>
        <w:rPr>
          <w:u w:val="single"/>
        </w:rPr>
        <w:t xml:space="preserve">T</w:t>
      </w:r>
      <w:r>
        <w:rPr/>
        <w:t xml:space="preserve">he fee imposed under RCW 46.63.110(7)(c) must be deposited into the account. Moneys in the account may be spent only after appropriation, and may be used only to support the activities in the statewide traumatic brain injury comprehensive plan, to provide a public awareness campaign and services relating to traumatic brain injury under RCW 74.31.040 and 74.31.050, for information and referral services, and for costs of required department staff who are providing support for the council under RCW 74.31.020 and 74.31.030. The secretary of the department of social and health services has the authority to administer the funds. </w:t>
      </w:r>
      <w:r>
        <w:rPr>
          <w:u w:val="single"/>
        </w:rPr>
        <w:t xml:space="preserve">The department must make every effort to disburse the incremental revenue that is the result of the fee increased under RCW 46.63.110(7)(c) in a diverse manner to include rural areas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2018 c 58 s 55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w:t>
      </w:r>
      <w:r>
        <w:t>((</w:t>
      </w:r>
      <w:r>
        <w:rPr>
          <w:strike/>
        </w:rPr>
        <w:t xml:space="preserve">A</w:t>
      </w:r>
      <w:r>
        <w:t>))</w:t>
      </w:r>
      <w:r>
        <w:rPr/>
        <w:t xml:space="preserve"> </w:t>
      </w:r>
      <w:r>
        <w:rPr>
          <w:u w:val="single"/>
        </w:rPr>
        <w:t xml:space="preserve">Two</w:t>
      </w:r>
      <w:r>
        <w:rPr/>
        <w:t xml:space="preserve"> representative</w:t>
      </w:r>
      <w:r>
        <w:rPr>
          <w:u w:val="single"/>
        </w:rPr>
        <w:t xml:space="preserve">s</w:t>
      </w:r>
      <w:r>
        <w:rPr/>
        <w:t xml:space="preserve">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The secretary of children, youth, and families or the secretary's designee;</w:t>
      </w:r>
    </w:p>
    <w:p>
      <w:pPr>
        <w:spacing w:before="0" w:after="0" w:line="408" w:lineRule="exact"/>
        <w:ind w:left="0" w:right="0" w:firstLine="576"/>
        <w:jc w:val="left"/>
      </w:pPr>
      <w:r>
        <w:rPr/>
        <w:t xml:space="preserve">(v) A representative of the department of commerce with expertise in housing;</w:t>
      </w:r>
    </w:p>
    <w:p>
      <w:pPr>
        <w:spacing w:before="0" w:after="0" w:line="408" w:lineRule="exact"/>
        <w:ind w:left="0" w:right="0" w:firstLine="576"/>
        <w:jc w:val="left"/>
      </w:pPr>
      <w:r>
        <w:rPr/>
        <w:t xml:space="preserve">(vi) A representative from the Washington state department of veterans affairs;</w:t>
      </w:r>
    </w:p>
    <w:p>
      <w:pPr>
        <w:spacing w:before="0" w:after="0" w:line="408" w:lineRule="exact"/>
        <w:ind w:left="0" w:right="0" w:firstLine="576"/>
        <w:jc w:val="left"/>
      </w:pPr>
      <w:r>
        <w:rPr/>
        <w:t xml:space="preserve">(vii) A representative from the national guard; </w:t>
      </w:r>
      <w:r>
        <w:rPr>
          <w:u w:val="single"/>
        </w:rPr>
        <w:t xml:space="preserve">and</w:t>
      </w:r>
    </w:p>
    <w:p>
      <w:pPr>
        <w:spacing w:before="0" w:after="0" w:line="408" w:lineRule="exact"/>
        <w:ind w:left="0" w:right="0" w:firstLine="576"/>
        <w:jc w:val="left"/>
      </w:pPr>
      <w:r>
        <w:rPr/>
        <w:t xml:space="preserve">(viii) The executive director of the Washington protection and advocacy system or the executive director's designee</w:t>
      </w:r>
      <w:r>
        <w:t>((</w:t>
      </w:r>
      <w:r>
        <w:rPr>
          <w:strike/>
        </w:rPr>
        <w:t xml:space="preserve">; and</w:t>
      </w:r>
    </w:p>
    <w:p>
      <w:pPr>
        <w:spacing w:before="0" w:after="0" w:line="408" w:lineRule="exact"/>
        <w:ind w:left="0" w:right="0" w:firstLine="576"/>
        <w:jc w:val="left"/>
      </w:pPr>
      <w:r>
        <w:rPr>
          <w:strike/>
        </w:rPr>
        <w:t xml:space="preserve">(ix) The executive director of the state brain injury association or the executive director's designee.</w:t>
      </w:r>
    </w:p>
    <w:p>
      <w:pPr>
        <w:spacing w:before="0" w:after="0" w:line="408" w:lineRule="exact"/>
        <w:ind w:left="0" w:right="0" w:firstLine="576"/>
        <w:jc w:val="left"/>
      </w:pPr>
      <w:r>
        <w:rPr>
          <w:strike/>
        </w:rPr>
        <w:t xml:space="preserve">In the event that any of the state agencies designated in this subsection (2)(b) is renamed, reorganized, or eliminated, the director or secretary of the department that assumes the responsibilities of each renamed, reorganized, or eliminated agency shall designate a substitute representative</w:t>
      </w:r>
      <w:r>
        <w:t>))</w:t>
      </w:r>
      <w:r>
        <w:rPr/>
        <w:t xml:space="preserv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rPr/>
        <w:t xml:space="preserve">(iv)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
      <w:pPr>
        <w:jc w:val="center"/>
      </w:pPr>
      <w:r>
        <w:rPr>
          <w:b/>
        </w:rPr>
        <w:t>--- END ---</w:t>
      </w:r>
    </w:p>
    <w:sectPr>
      <w:pgNumType w:start="1"/>
      <w:footerReference xmlns:r="http://schemas.openxmlformats.org/officeDocument/2006/relationships" r:id="R3b41ec3175a0467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5127.PL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53c4befab14026" /><Relationship Type="http://schemas.openxmlformats.org/officeDocument/2006/relationships/footer" Target="/word/footer1.xml" Id="R3b41ec3175a04676" /></Relationships>
</file>