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6bc846f894f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5135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5135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Rolfes, Frockt, Salomon, Palumbo, Cleveland, Carlyle, Kuderer, Saldaña, Billig, Dhingra, Pedersen, Wellman, Hunt, Das, McCoy, Liias, Darneille, Hasegawa, Keiser, and Van De Wege)</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toxic pollution that affects public health or the environment; amending RCW 70.240.040, 43.21B.110, and 34.05.272;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product" means any item, including any component parts and packaging, sold for residential or commercial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rPr/>
        <w:t xml:space="preserve">(5) "Organohalogen" means a class of chemicals that includes any chemical containing one or more halogen elements bonded to carbon.</w:t>
      </w:r>
    </w:p>
    <w:p>
      <w:pPr>
        <w:spacing w:before="0" w:after="0" w:line="408" w:lineRule="exact"/>
        <w:ind w:left="0" w:right="0" w:firstLine="576"/>
        <w:jc w:val="left"/>
      </w:pPr>
      <w:r>
        <w:rPr/>
        <w:t xml:space="preserve">(6)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rPr/>
        <w:t xml:space="preserve">(7) "Phenolic compounds" means alkylphenol ethoxylates and bisphenols.</w:t>
      </w:r>
    </w:p>
    <w:p>
      <w:pPr>
        <w:spacing w:before="0" w:after="0" w:line="408" w:lineRule="exact"/>
        <w:ind w:left="0" w:right="0" w:firstLine="576"/>
        <w:jc w:val="left"/>
      </w:pPr>
      <w:r>
        <w:rPr/>
        <w:t xml:space="preserve">(8) "Phthalates" means synthetic chemical esters of phthalic acid.</w:t>
      </w:r>
    </w:p>
    <w:p>
      <w:pPr>
        <w:spacing w:before="0" w:after="0" w:line="408" w:lineRule="exact"/>
        <w:ind w:left="0" w:right="0" w:firstLine="576"/>
        <w:jc w:val="left"/>
      </w:pPr>
      <w:r>
        <w:rPr/>
        <w:t xml:space="preserve">(9)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rPr/>
        <w:t xml:space="preserve">(10)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70.240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or</w:t>
      </w:r>
    </w:p>
    <w:p>
      <w:pPr>
        <w:spacing w:before="0" w:after="0" w:line="408" w:lineRule="exact"/>
        <w:ind w:left="0" w:right="0" w:firstLine="576"/>
        <w:jc w:val="left"/>
      </w:pPr>
      <w:r>
        <w:rPr/>
        <w:t xml:space="preserve">(g) A chemical identified by the department as a priority chemical under section 2 of this act.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rPr/>
        <w:t xml:space="preserve">(13)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0" w:after="0" w:line="408" w:lineRule="exact"/>
        <w:ind w:left="0" w:right="0" w:firstLine="576"/>
        <w:jc w:val="left"/>
      </w:pPr>
      <w:r>
        <w:rPr/>
        <w:t xml:space="preserve">(14)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rPr/>
        <w:t xml:space="preserve">(15)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five years, and consistent with the timeline established in section 5 of this act, the department, in consultation with the department of health, must report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70.240 RCW; or</w:t>
      </w:r>
    </w:p>
    <w:p>
      <w:pPr>
        <w:spacing w:before="0" w:after="0" w:line="408" w:lineRule="exact"/>
        <w:ind w:left="0" w:right="0" w:firstLine="576"/>
        <w:jc w:val="left"/>
      </w:pPr>
      <w:r>
        <w:rPr/>
        <w:t xml:space="preserve">(b) Persistent, bioaccumulative toxin under chapter 70.105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70.240, 70.76, 70.95G, 70.280, 70.285, 70.95M, or 70.75A RCW; or</w:t>
      </w:r>
    </w:p>
    <w:p>
      <w:pPr>
        <w:spacing w:before="0" w:after="0" w:line="408" w:lineRule="exact"/>
        <w:ind w:left="0" w:right="0" w:firstLine="576"/>
        <w:jc w:val="left"/>
      </w:pPr>
      <w:r>
        <w:rPr/>
        <w:t xml:space="preserve">(b) As a hazardous substance under chapter 70.105 or 70.105D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shall identify priority consumer products that are a significant source of or use of priority chemicals. The department must submit a report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70.l05 RCW as a source of a priority chemical or other reports or information gathered under chapter 70.240, 70.76, 70.95G, 70.280, 70.285, 70.95M, or 70.75A RCW.</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section 4 of this act, the department may request a manufacturer to submit a notice to the department that contains the information specified in RCW 70.240.040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section 4 of this act to restrict or require the disclosure of a priority chemical in an inaccessible electronic component of the electronic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five years, and consistent with the timeline established in section 5 of this act, the department, in consultation with the department of health, must determine regulatory actions to increase transparency and to reduce the use of priority chemicals in priority consumer products. The department must submit a report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70.240.040;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section 3(4) of this act.</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sections 2 and 3 of this act,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June 1, 2020, and consistent with section 3 of this act, the department shall identify priority consumer products that are a significant source of or use of priority chemicals specified in section 1(10) (a) through (f) of this act.</w:t>
      </w:r>
    </w:p>
    <w:p>
      <w:pPr>
        <w:spacing w:before="0" w:after="0" w:line="408" w:lineRule="exact"/>
        <w:ind w:left="0" w:right="0" w:firstLine="576"/>
        <w:jc w:val="left"/>
      </w:pPr>
      <w:r>
        <w:rPr/>
        <w:t xml:space="preserve">(b) By June 1, 2022, and consistent with section 4 of this act, the department must determine regulatory actions regarding the priority chemicals and priority consumer products identified in (a) of this subsection.</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section 1(10) (a) through (g) of this act that are identified consistent with section 2 of this act.</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section 3 of this act.</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section 4 of this act.</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that submits information or records to the department under this chapter may request that the information or records be made available only for the confidential use of the department, the director, or the appropriate division of the department. The director shall give consideration to the request and if this action is not detrimental to the public interest and is otherwise within accord with the policies and purposes of chapter 43.21A RCW, the director must grant the request for the information to remain confidential as authorized in RCW 43.21A.160. Under the procedures established under RCW 43.21A.160, the director must keep confidential any records furnished by a manufacturer under this chapter that relate to proprietary manufacturing processes or chemical formulations used in products or processes.</w:t>
      </w:r>
    </w:p>
    <w:p>
      <w:pPr>
        <w:spacing w:before="0" w:after="0" w:line="408" w:lineRule="exact"/>
        <w:ind w:left="0" w:right="0" w:firstLine="576"/>
        <w:jc w:val="left"/>
      </w:pPr>
      <w:r>
        <w:rPr/>
        <w:t xml:space="preserve">(2) For records or other information furnished to the department by a federal agency on the condition that the information be afforded the same confidentiality protections as under federal law, the director may determine that the information or records be available only for the confidential use of the director, the department, or the appropriate division of the department. All such records and information are exempt from public disclosure. The director is authorized to enter into an agreement with the federal agency furnishing the records or information to ensure the confidentiality of the records or information</w:t>
      </w:r>
      <w:r>
        <w:rPr>
          <w:i/>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(2)(a) The department must adopt rules to implement the determinations of regulatory actions specified in section 4(1) (b) or (c) of this act. When proposing or adopting rules to implement regulatory determinations specified in this subsection, the department must identify the expected costs and benefits of the proposed or adopted rules to state agencies to administer and enforce the rules and to private persons or businesses, by category of type of person or business affected.</w:t>
      </w:r>
    </w:p>
    <w:p>
      <w:pPr>
        <w:spacing w:before="0" w:after="0" w:line="408" w:lineRule="exact"/>
        <w:ind w:left="0" w:right="0" w:firstLine="576"/>
        <w:jc w:val="left"/>
      </w:pPr>
      <w:r>
        <w:rPr/>
        <w:t xml:space="preserve">(b) A rule adopted to implement a regulatory determination involving a restriction on the manufacture, wholesale, distribution, sale, retail sale, or use of a priority consumer product containing a priority chemical may take effect no sooner than three hundred sixty-five days after the adoption of the rule.</w:t>
      </w:r>
    </w:p>
    <w:p>
      <w:pPr>
        <w:spacing w:before="0" w:after="0" w:line="408" w:lineRule="exact"/>
        <w:ind w:left="0" w:right="0" w:firstLine="576"/>
        <w:jc w:val="left"/>
      </w:pPr>
      <w:r>
        <w:rPr/>
        <w:t xml:space="preserve">(c) Each rule adopted to implement a determination of regulatory action specified in section 4(1) (b) or (c) of this act is a significant legislative rule for purposes of RCW 34.05.328. The department must prepare a small business economic impact statement consistent with the requirements of RCW 19.85.040 for each rule to implement a determination of a regulatory action specified in section 4(1) (b) or (c)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040</w:t>
      </w:r>
      <w:r>
        <w:rPr/>
        <w:t xml:space="preserve"> and 2008 c 288 s 5 are each amended to read as follows:</w:t>
      </w:r>
    </w:p>
    <w:p>
      <w:pPr>
        <w:spacing w:before="0" w:after="0" w:line="408" w:lineRule="exact"/>
        <w:ind w:left="0" w:right="0" w:firstLine="576"/>
        <w:jc w:val="left"/>
      </w:pPr>
      <w:r>
        <w:t>((</w:t>
      </w:r>
      <w:r>
        <w:rPr>
          <w:strike/>
        </w:rPr>
        <w:t xml:space="preserve">Beginning six months after the department has adopted rules under section 8(5) of this act,</w:t>
      </w:r>
      <w:r>
        <w:t>))</w:t>
      </w:r>
      <w:r>
        <w:rPr/>
        <w:t xml:space="preserve"> </w:t>
      </w:r>
      <w:r>
        <w:rPr>
          <w:u w:val="single"/>
        </w:rPr>
        <w:t xml:space="preserve">A</w:t>
      </w:r>
      <w:r>
        <w:rPr/>
        <w:t xml:space="preserve"> manufacturer of a children's product </w:t>
      </w:r>
      <w:r>
        <w:rPr>
          <w:u w:val="single"/>
        </w:rPr>
        <w:t xml:space="preserve">or a consumer product containing a priority chemical subject to a rule adopted to implement a determination made consistent with section 4(1)(b) of this act</w:t>
      </w:r>
      <w:r>
        <w:rPr/>
        <w:t xml:space="preserve">, or a trade organization on behalf of its member manufacturers, shall provide notice to the department that the manufacturer's product contains a high priority chemical </w:t>
      </w:r>
      <w:r>
        <w:rPr>
          <w:u w:val="single"/>
        </w:rPr>
        <w:t xml:space="preserve">or a priority chemical identified under chapter 70.--- RCW (the new chapter created in section 13 of this act)</w:t>
      </w:r>
      <w:r>
        <w:rPr/>
        <w:t xml:space="preserve">. The notice must be filed annually with the department and must include the following information:</w:t>
      </w:r>
    </w:p>
    <w:p>
      <w:pPr>
        <w:spacing w:before="0" w:after="0" w:line="408" w:lineRule="exact"/>
        <w:ind w:left="0" w:right="0" w:firstLine="576"/>
        <w:jc w:val="left"/>
      </w:pPr>
      <w:r>
        <w:rPr/>
        <w:t xml:space="preserve">(1) The name of the chemical used or produced and its chemical abstracts service registry number;</w:t>
      </w:r>
    </w:p>
    <w:p>
      <w:pPr>
        <w:spacing w:before="0" w:after="0" w:line="408" w:lineRule="exact"/>
        <w:ind w:left="0" w:right="0" w:firstLine="576"/>
        <w:jc w:val="left"/>
      </w:pPr>
      <w:r>
        <w:rPr/>
        <w:t xml:space="preserve">(2) A brief description of the product or product component containing the substance;</w:t>
      </w:r>
    </w:p>
    <w:p>
      <w:pPr>
        <w:spacing w:before="0" w:after="0" w:line="408" w:lineRule="exact"/>
        <w:ind w:left="0" w:right="0" w:firstLine="576"/>
        <w:jc w:val="left"/>
      </w:pPr>
      <w:r>
        <w:rPr/>
        <w:t xml:space="preserve">(3) A description of the function of the chemical in the product;</w:t>
      </w:r>
    </w:p>
    <w:p>
      <w:pPr>
        <w:spacing w:before="0" w:after="0" w:line="408" w:lineRule="exact"/>
        <w:ind w:left="0" w:right="0" w:firstLine="576"/>
        <w:jc w:val="left"/>
      </w:pPr>
      <w:r>
        <w:rPr/>
        <w:t xml:space="preserve">(4)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(5) The name and address of the manufacturer and the name, address, and phone number of a contact person for the manufacturer; and</w:t>
      </w:r>
    </w:p>
    <w:p>
      <w:pPr>
        <w:spacing w:before="0" w:after="0" w:line="408" w:lineRule="exact"/>
        <w:ind w:left="0" w:right="0" w:firstLine="576"/>
        <w:jc w:val="left"/>
      </w:pPr>
      <w:r>
        <w:rPr/>
        <w:t xml:space="preserve">(6) Any other information the manufacturer deems relevant to the appropriate use of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7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272</w:t>
      </w:r>
      <w:r>
        <w:rPr/>
        <w:t xml:space="preserve"> and 2014 c 22 s 1 are each amended to read as follows:</w:t>
      </w:r>
    </w:p>
    <w:p>
      <w:pPr>
        <w:spacing w:before="0" w:after="0" w:line="408" w:lineRule="exact"/>
        <w:ind w:left="0" w:right="0" w:firstLine="576"/>
        <w:jc w:val="left"/>
      </w:pPr>
      <w:r>
        <w:rPr/>
        <w:t xml:space="preserve">(1) This section applies only to the water quality and shorelands and environmental assistance programs within the department of ecology </w:t>
      </w:r>
      <w:r>
        <w:rPr>
          <w:u w:val="single"/>
        </w:rPr>
        <w:t xml:space="preserve">and to actions taken by the department of ecology under chapter 70.--- RCW (the new chapter created in section 13 of this act)</w:t>
      </w:r>
      <w:r>
        <w:rPr/>
        <w:t xml:space="preserve">.</w:t>
      </w:r>
    </w:p>
    <w:p>
      <w:pPr>
        <w:spacing w:before="0" w:after="0" w:line="408" w:lineRule="exact"/>
        <w:ind w:left="0" w:right="0" w:firstLine="576"/>
        <w:jc w:val="left"/>
      </w:pPr>
      <w:r>
        <w:rPr/>
        <w:t xml:space="preserve">(2)(a) Before taking a significant agency action, </w:t>
      </w:r>
      <w:r>
        <w:rPr>
          <w:u w:val="single"/>
        </w:rPr>
        <w:t xml:space="preserve">which includes each department of ecology rule to implement a determination of a regulatory action specified in section 4(1) (b) or (c) of this act,</w:t>
      </w:r>
      <w:r>
        <w:rPr/>
        <w:t xml:space="preserve"> the department of ecology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ecology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On the agency's web site, the department of ecology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ecology;</w:t>
      </w:r>
    </w:p>
    <w:p>
      <w:pPr>
        <w:spacing w:before="0" w:after="0" w:line="408" w:lineRule="exact"/>
        <w:ind w:left="0" w:right="0" w:firstLine="576"/>
        <w:jc w:val="left"/>
      </w:pPr>
      <w:r>
        <w:rPr/>
        <w:t xml:space="preserve">(iii) External peer review: Review by persons that are external to and selected by the department of ecology;</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t xml:space="preserve">(vii) Records of the best professional judgment of department of ecology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w:t>
      </w:r>
      <w:r>
        <w:t>((</w:t>
      </w:r>
      <w:r>
        <w:rPr>
          <w:strike/>
        </w:rPr>
        <w:t xml:space="preserve">(1)</w:t>
      </w:r>
      <w:r>
        <w:t>))</w:t>
      </w:r>
      <w:r>
        <w:rPr/>
        <w:t xml:space="preserve"> </w:t>
      </w:r>
      <w:r>
        <w:rPr>
          <w:u w:val="single"/>
        </w:rPr>
        <w:t xml:space="preserve">(2)</w:t>
      </w:r>
      <w:r>
        <w:rPr/>
        <w:t xml:space="preserve">(c).</w:t>
      </w:r>
    </w:p>
    <w:p>
      <w:pPr>
        <w:spacing w:before="0" w:after="0" w:line="408" w:lineRule="exact"/>
        <w:ind w:left="0" w:right="0" w:firstLine="576"/>
        <w:jc w:val="left"/>
      </w:pPr>
      <w:r>
        <w:rPr/>
        <w:t xml:space="preserve">(3) For the purposes of this section, "significant agency action" means an act of the department of ecology that:</w:t>
      </w:r>
    </w:p>
    <w:p>
      <w:pPr>
        <w:spacing w:before="0" w:after="0" w:line="408" w:lineRule="exact"/>
        <w:ind w:left="0" w:right="0" w:firstLine="576"/>
        <w:jc w:val="left"/>
      </w:pPr>
      <w:r>
        <w:rPr/>
        <w:t xml:space="preserve">(a) Results in the development of a significant legislative rule as defined in RCW 34.05.328; or</w:t>
      </w:r>
    </w:p>
    <w:p>
      <w:pPr>
        <w:spacing w:before="0" w:after="0" w:line="408" w:lineRule="exact"/>
        <w:ind w:left="0" w:right="0" w:firstLine="576"/>
        <w:jc w:val="left"/>
      </w:pPr>
      <w:r>
        <w:rPr/>
        <w:t xml:space="preserve">(b)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t xml:space="preserve">(4)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pollution prevention for healthy people and Puget Sound act.</w:t>
      </w:r>
    </w:p>
    <w:p/>
    <w:p>
      <w:pPr>
        <w:jc w:val="center"/>
      </w:pPr>
      <w:r>
        <w:rPr>
          <w:b/>
        </w:rPr>
        <w:t>--- END ---</w:t>
      </w:r>
    </w:p>
    <w:sectPr>
      <w:pgNumType w:start="1"/>
      <w:footerReference xmlns:r="http://schemas.openxmlformats.org/officeDocument/2006/relationships" r:id="R610f782801ce4b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ba3c13badb400e" /><Relationship Type="http://schemas.openxmlformats.org/officeDocument/2006/relationships/footer" Target="/word/footer1.xml" Id="R610f782801ce4bca" /></Relationships>
</file>