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615bcda4048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79</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Rivers, Wilson, C., Walsh, Randall, Cleveland, and Liias; by request of Department of Health)</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 and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(b)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(2)(b)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Twenty-five years have elapsed after the date of death; and</w:t>
      </w:r>
    </w:p>
    <w:p>
      <w:pPr>
        <w:spacing w:before="0" w:after="0" w:line="408" w:lineRule="exact"/>
        <w:ind w:left="0" w:right="0" w:firstLine="576"/>
        <w:jc w:val="left"/>
      </w:pPr>
      <w:r>
        <w:rPr/>
        <w:t xml:space="preserve">(c) Twenty-five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other than those charged through the central services billing model for the cost of operating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The department may release indices of death, marriage, and divorce records annually to the state archives.</w:t>
      </w:r>
    </w:p>
    <w:p>
      <w:pPr>
        <w:spacing w:before="0" w:after="0" w:line="408" w:lineRule="exact"/>
        <w:ind w:left="0" w:right="0" w:firstLine="576"/>
        <w:jc w:val="left"/>
      </w:pPr>
      <w:r>
        <w:rPr/>
        <w:t xml:space="preserve">(19)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(20)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GOVERNED BY THIS CHAPTER.</w:t>
      </w:r>
      <w:r>
        <w:t xml:space="preserve">  </w:t>
      </w:r>
      <w:r>
        <w:rPr/>
        <w:t xml:space="preserve">(1) All or part of any vital records, reports, supporting documentation, vital statistics, data, or information contained therein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supporting documentation, vital statistics, data, or information contained therein under chapter 70.--- RCW (the new chapter created in section 44 of this act)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242c800442b41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e3b74125540f4" /><Relationship Type="http://schemas.openxmlformats.org/officeDocument/2006/relationships/footer" Target="/word/footer1.xml" Id="R8242c800442b410a" /></Relationships>
</file>