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bc84bb42f49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6420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Takko and Short</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utilities and safety committee; amending RCW 19.122.050 and 19.122.130; and reenacting and amending RCW 19.122.020.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w:t>
      </w:r>
      <w:r>
        <w:rPr>
          <w:u w:val="single"/>
        </w:rPr>
        <w:t xml:space="preserve">Locate marks are not required to indicate the depth of the underground facility given the potential change of topography over time.</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w:t>
      </w:r>
      <w:r>
        <w:rPr>
          <w:u w:val="single"/>
        </w:rPr>
        <w:t xml:space="preserve">call 911 to</w:t>
      </w:r>
      <w:r>
        <w:rPr/>
        <w:t xml:space="preserve"> alert the appropriate local public safety agencies and take all appropriate steps to ensure the public safety. No damaged underground facility may be buried until it is repaired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w:t>
      </w:r>
      <w:r>
        <w:t>((</w:t>
      </w:r>
      <w:r>
        <w:rPr>
          <w:strike/>
        </w:rPr>
        <w:t xml:space="preserve">The insurance industry;</w:t>
      </w:r>
      <w:r>
        <w:t>))</w:t>
      </w:r>
      <w:r>
        <w:rPr/>
        <w:t xml:space="preserve"> </w:t>
      </w:r>
      <w:r>
        <w:rPr>
          <w:u w:val="single"/>
        </w:rPr>
        <w:t xml:space="preserve">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w:t>
      </w:r>
      <w:r>
        <w:t>((</w:t>
      </w:r>
      <w:r>
        <w:rPr>
          <w:strike/>
        </w:rPr>
        <w:t xml:space="preserve">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r>
        <w:t>))</w:t>
      </w:r>
      <w:r>
        <w:rPr/>
        <w:t xml:space="preserve"> </w:t>
      </w:r>
      <w:r>
        <w:rPr>
          <w:u w:val="single"/>
        </w:rPr>
        <w:t xml:space="preserve">be a balanced group, including at least one excavator and one facility operator</w:t>
      </w:r>
      <w:r>
        <w:rPr/>
        <w:t xml:space="preserve">.</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f5033e2372fe47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79c9ffc9941dd" /><Relationship Type="http://schemas.openxmlformats.org/officeDocument/2006/relationships/footer" Target="/word/footer1.xml" Id="Rf5033e2372fe47b7" /></Relationships>
</file>