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9a41c25fd54d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6613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6613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Rolfes, Lovelett,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inspection of marine aquatic farming locations; and amending RCW 77.125.030.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2018 c 179 s 9 are each amended to read as follows:</w:t>
      </w:r>
    </w:p>
    <w:p>
      <w:pPr>
        <w:spacing w:before="0" w:after="0" w:line="408" w:lineRule="exact"/>
        <w:ind w:left="0" w:right="0" w:firstLine="576"/>
        <w:jc w:val="left"/>
      </w:pPr>
      <w:r>
        <w:rPr>
          <w:u w:val="single"/>
        </w:rPr>
        <w:t xml:space="preserve">(1)</w:t>
      </w:r>
      <w:r>
        <w:rPr/>
        <w:t xml:space="preserve"> 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w:t>
      </w:r>
      <w:r>
        <w:t>((</w:t>
      </w:r>
      <w:r>
        <w:rPr>
          <w:strike/>
        </w:rPr>
        <w:t xml:space="preserve">The proposed rules shall be submitted to the appropriate legislative committees by January 1, 2002, to allow for legislative review of the proposed rules.</w:t>
      </w:r>
      <w:r>
        <w:t>))</w:t>
      </w:r>
      <w:r>
        <w:rPr/>
        <w:t xml:space="preserve"> The proposed rules shall include the following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Provisions for the prevention of escapes of cultured marine finfish aquaculture products from enclosures, net pens, or other rearing vessels;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for the development of management practices based on the latest available science, to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Procedures for inspections of marine aquatic farming locations on a regular basis to determine conformity with law and the rules of the department relating to the operation of marine aquatic farming locations</w:t>
      </w:r>
      <w:r>
        <w:rPr>
          <w:u w:val="single"/>
        </w:rPr>
        <w:t xml:space="preserve">. The rules must provide for the recovery of actual costs incurred for required inspections, monitoring, and compliance testing by the department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Operating procedures at marine aquatic farming locations to prevent the escape of marine finfish, to include the use of net antifoulants;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Provisions for the development of an education program to assist marine aquatic farmers so that they operate in an environmentally sound manner.</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must implement this section consistent with RCW 77.125.050.</w:t>
      </w:r>
    </w:p>
    <w:p/>
    <w:p>
      <w:pPr>
        <w:jc w:val="center"/>
      </w:pPr>
      <w:r>
        <w:rPr>
          <w:b/>
        </w:rPr>
        <w:t>--- END ---</w:t>
      </w:r>
    </w:p>
    <w:sectPr>
      <w:pgNumType w:start="1"/>
      <w:footerReference xmlns:r="http://schemas.openxmlformats.org/officeDocument/2006/relationships" r:id="R04360bd6d30248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d98dab35a4e9c" /><Relationship Type="http://schemas.openxmlformats.org/officeDocument/2006/relationships/footer" Target="/word/footer1.xml" Id="R04360bd6d302487d" /></Relationships>
</file>