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5b35791af46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1196</w:t>
      </w:r>
    </w:p>
    <w:p>
      <w:pPr>
        <w:jc w:val="center"/>
        <w:spacing w:before="480" w:after="0" w:line="240"/>
      </w:pPr>
      <w:r>
        <w:t xml:space="preserve">Chapter </w:t>
      </w:r>
      <w:r>
        <w:rPr/>
        <w:t xml:space="preserve">297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DAYLIGHT SAVING TIME--YEAR-ROUND OBSERVATION</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2 through 4,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90</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Riccelli, Steele, Stonier, Fitzgibbon, Ortiz-Self, Tarleton, Doglio, Schmick, Eslick, Lovick, Fey, Shea, Tharinger, and Goodman)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observing daylight saving time year round; amending RCW 35A.21.190; adding new sections to chapter 1.20 RCW; repealing RCW 1.20.050, 1.20.051, and 1.20.---;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Under federal law as it exists on the effective date of this section, states are not permitted to observe daylight saving time year round. If the United States congress amends federal law to authorize states to observe daylight saving time year round, the legislature intends that Washington state make daylight saving time the permanent time of the state and all of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time of the state of Washington and all of its political subdivisions is Pacific daylight time throughout the calendar year, as determined by reference to coordinated universal time.</w:t>
      </w:r>
    </w:p>
    <w:p>
      <w:pPr>
        <w:spacing w:before="0" w:after="0" w:line="408" w:lineRule="exact"/>
        <w:ind w:left="0" w:right="0" w:firstLine="576"/>
        <w:jc w:val="left"/>
      </w:pPr>
      <w:r>
        <w:rPr/>
        <w:t xml:space="preserve">(2) Pacific daylight time within the state is that of the fifth zone designated by federal law as Pacific Standard Time, 15 U.S.C. Secs. 261 and 263, advanced by one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w:t>
      </w:r>
      <w:r>
        <w:t>((</w:t>
      </w:r>
      <w:r>
        <w:rPr>
          <w:strike/>
        </w:rPr>
        <w:t xml:space="preserve">RCW 1.20.050 and 1.20.051</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w:t>
      </w:r>
    </w:p>
    <w:p>
      <w:pPr>
        <w:spacing w:before="0" w:after="0" w:line="408" w:lineRule="exact"/>
        <w:ind w:left="0" w:right="0" w:firstLine="576"/>
        <w:jc w:val="left"/>
      </w:pPr>
      <w:r>
        <w:t>(2)</w:t>
      </w:r>
      <w:r>
        <w:rPr/>
        <w:t xml:space="preserve">RCW </w:t>
      </w:r>
      <w:r>
        <w:t xml:space="preserve">1</w:t>
      </w:r>
      <w:r>
        <w:rPr/>
        <w:t xml:space="preserve">.</w:t>
      </w:r>
      <w:r>
        <w:t xml:space="preserve">20</w:t>
      </w:r>
      <w:r>
        <w:rPr/>
        <w:t xml:space="preserve">.</w:t>
      </w:r>
      <w:r>
        <w:t xml:space="preserve">051</w:t>
      </w:r>
      <w:r>
        <w:rPr/>
        <w:t xml:space="preserve"> (Daylight saving time) and 2018 c 22 s 2, 1963 c 14 s 1, &amp; 1961 c 3 s 1; and</w:t>
      </w:r>
    </w:p>
    <w:p>
      <w:pPr>
        <w:spacing w:before="0" w:after="0" w:line="408" w:lineRule="exact"/>
        <w:ind w:left="0" w:right="0" w:firstLine="576"/>
        <w:jc w:val="left"/>
      </w:pPr>
      <w:r>
        <w:t>(3)</w:t>
      </w:r>
      <w:r>
        <w:rPr/>
        <w:t xml:space="preserve">RCW </w:t>
      </w:r>
      <w:r>
        <w:t xml:space="preserve">1</w:t>
      </w:r>
      <w:r>
        <w:rPr/>
        <w:t xml:space="preserve">.</w:t>
      </w:r>
      <w:r>
        <w:t xml:space="preserve">20</w:t>
      </w:r>
      <w:r>
        <w:rPr/>
        <w:t xml:space="preserve">.</w:t>
      </w:r>
      <w:r>
        <w:t xml:space="preserve">---</w:t>
      </w:r>
      <w:r>
        <w:rPr/>
        <w:t xml:space="preserve"> and 2019 c . . . s 1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4 of this at take effect on the first Sunday in November following the effective date of federal authorization to observe daylight saving time year-round, except if the effective date of federal authorization to observe daylight saving time year-round occurs on or after October 1st but before the first Sunday in November, sections 2 through 4 of this act take effect on the first Sunday in November in the following year.</w:t>
      </w:r>
    </w:p>
    <w:p>
      <w:pPr>
        <w:spacing w:before="0" w:after="0" w:line="408" w:lineRule="exact"/>
        <w:ind w:left="0" w:right="0" w:firstLine="576"/>
        <w:jc w:val="left"/>
      </w:pPr>
      <w:r>
        <w:rPr/>
        <w:t xml:space="preserve">(2) The governor shall provide written notice of the effective date of sections 2 through 4 of this act to affected parties, the chief clerk of the house of representatives, the secretary of the senate, the office of the code reviser, and others as deemed appropriate by the governor.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fe82115723e64bb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d31effd4b04ce3" /><Relationship Type="http://schemas.openxmlformats.org/officeDocument/2006/relationships/footer" Target="/word/footer1.xml" Id="Rfe82115723e64bb7" /></Relationships>
</file>