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79c2e46184e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1301</w:t>
      </w:r>
    </w:p>
    <w:p>
      <w:pPr>
        <w:jc w:val="center"/>
        <w:spacing w:before="480" w:after="0" w:line="240"/>
      </w:pPr>
      <w:r>
        <w:t xml:space="preserve">Chapter </w:t>
      </w:r>
      <w:r>
        <w:rPr/>
        <w:t xml:space="preserve">335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LEASEHOLD EXCISE TAX--EXEMPTION FOR CERTAIN ARENAS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Kirby, Fey, Jinkins, Kilduff, Morgan, Leavitt, and Wylie</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two thousand from the leasehold excise tax; amending RCW 82.29A.130;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u w:val="single"/>
        </w:rPr>
        <w:t xml:space="preserve">(21)(a) All leasehold interests in the public or entertainment areas of an arena if it:</w:t>
      </w:r>
    </w:p>
    <w:p>
      <w:pPr>
        <w:spacing w:before="0" w:after="0" w:line="408" w:lineRule="exact"/>
        <w:ind w:left="0" w:right="0" w:firstLine="576"/>
        <w:jc w:val="left"/>
      </w:pPr>
      <w:r>
        <w:rPr>
          <w:u w:val="single"/>
        </w:rPr>
        <w:t xml:space="preserve">(i) Has a seating capacity of more than two thousand;</w:t>
      </w:r>
    </w:p>
    <w:p>
      <w:pPr>
        <w:spacing w:before="0" w:after="0" w:line="408" w:lineRule="exact"/>
        <w:ind w:left="0" w:right="0" w:firstLine="576"/>
        <w:jc w:val="left"/>
      </w:pPr>
      <w:r>
        <w:rPr>
          <w:u w:val="single"/>
        </w:rPr>
        <w:t xml:space="preserve">(ii) Is located on city-owned land; and</w:t>
      </w:r>
    </w:p>
    <w:p>
      <w:pPr>
        <w:spacing w:before="0" w:after="0" w:line="408" w:lineRule="exact"/>
        <w:ind w:left="0" w:right="0" w:firstLine="576"/>
        <w:jc w:val="left"/>
      </w:pPr>
      <w:r>
        <w:rPr>
          <w:u w:val="single"/>
        </w:rPr>
        <w:t xml:space="preserve">(iii) Is owned by a city with a population over two hundred thousand within a county with a population of less than one million five hundred thousand</w:t>
      </w:r>
      <w:r>
        <w:rPr>
          <w:u w:val="single"/>
        </w:rPr>
        <w:t xml:space="preserve">.</w:t>
      </w:r>
    </w:p>
    <w:p>
      <w:pPr>
        <w:spacing w:before="0" w:after="0" w:line="408" w:lineRule="exact"/>
        <w:ind w:left="0" w:right="0" w:firstLine="576"/>
        <w:jc w:val="left"/>
      </w:pPr>
      <w:r>
        <w:rPr>
          <w:u w:val="single"/>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ea75d9f15824b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c74bf02f74312" /><Relationship Type="http://schemas.openxmlformats.org/officeDocument/2006/relationships/footer" Target="/word/footer1.xml" Id="R4ea75d9f15824beb" /></Relationships>
</file>