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7ef6de9dc41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1480</w:t>
      </w:r>
    </w:p>
    <w:p>
      <w:pPr>
        <w:jc w:val="center"/>
        <w:spacing w:before="480" w:after="0" w:line="240"/>
      </w:pPr>
      <w:r>
        <w:t xml:space="preserve">Chapter </w:t>
      </w:r>
      <w:r>
        <w:rPr/>
        <w:t xml:space="preserve">225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DREDGED MATERIAL DISPOSAL--PERMIT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Fey, Barkis,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permitting process for disposing of dredged materials; and amending RCW 90.58.140.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2015 3rd sp.s. c 15 s 7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t xml:space="preserve">(d) Except as authorized in (b) and (c)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(e) Except as authorized in (b) and (c)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(d), or (e)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 A permit under this section is not required in order to dispose of dredged materials at a disposal site approved through the cooperative planning process referenced in RCW 79.105.500, provided the dredged material disposal proponent obtains a valid site use authorization from the dredged material management program office within the department of natural resources.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5e6d325a506e45a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30d4271c34c0d" /><Relationship Type="http://schemas.openxmlformats.org/officeDocument/2006/relationships/footer" Target="/word/footer1.xml" Id="R5e6d325a506e45ad" /></Relationships>
</file>