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ab8b7357843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1517</w:t>
      </w:r>
    </w:p>
    <w:p>
      <w:pPr>
        <w:jc w:val="center"/>
        <w:spacing w:before="480" w:after="0" w:line="240"/>
      </w:pPr>
      <w:r>
        <w:t xml:space="preserve">Chapter </w:t>
      </w:r>
      <w:r>
        <w:rPr/>
        <w:t xml:space="preserve">263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DOMESTIC VIOLENCE--VARIOUS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501 through 504, 601, 602, and 701 through 708, which become effective January 1, 2021; sections 801 through 803, which become effective June 30, 2019; and sections 901 through 915, 1001, and 1002, which become effective 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Mosbrucker, Orwall, Griffey, Lovick, Davis, Appleton, Pettigrew, Pellicciotti, Kilduff, and Valdez;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10.99.020, 26.50.020, 9.95.210, 10.99.050, 9.94A.500, 9.94A.660, 9.94A.662, 9.94A.664, 9.94A.704, 9.94A.722, 10.05.010, 10.05.015, 10.05.020, 10.05.030, 10.05.120, 10.05.140, 10.05.160, 26.50.035, 26.50.110, 26.50.160, and 36.28A.410; amending 2017 c 272 ss 7 and 8 (uncodified); reenacting and amending RCW 26.50.010 and 10.31.100; adding a new section to chapter 10.01 RCW; adding a new section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 tool to be used in conjunction with the Washington one risk assessment that would specifically predict whether the offender will commit domestic violence in the future. The domestic violence tool may incorporate relevant court records into the prediction modeling, if practical within the resources allocated. The tool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tool available for use by the department no later than July 1, 2020. Subject to funds appropriated for this specific purpose, the department shall start to implement the domestic violence risk assessment tool by July 1, 2020, and by July 1, 2021, the department shall use the domestic violence risk assessment tool when conducting a Washington one risk assessment for an offender with a current conviction where domestic violence was pleaded and proven.</w:t>
      </w:r>
    </w:p>
    <w:p>
      <w:pPr>
        <w:spacing w:before="0" w:after="0" w:line="408" w:lineRule="exact"/>
        <w:ind w:left="0" w:right="0" w:firstLine="576"/>
        <w:jc w:val="left"/>
      </w:pPr>
      <w:r>
        <w:rPr/>
        <w:t xml:space="preserve">(3) The harborview center for sexual assault and traumatic stress shall develop a training curriculum for domestic violence perpetrator treatment providers that incorporates evidence-based practices and treatment modalities consistent with the Washington Administrative Code provisions adopted by the department of social and health services. The harborview center for sexual assault and traumatic stress shall complete the training curriculum and make it available for provider training no later than June 30, 2020.</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the court shall order the department to complete a presentence investigation before imposing a drug offender sentencing alternative upon a defendant who has been convicted of a felony offense where domestic violence has been pleaded and proven.</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w:t>
      </w:r>
      <w:r>
        <w:rPr>
          <w:u w:val="single"/>
        </w:rPr>
        <w:t xml:space="preserve">(a)</w:t>
      </w:r>
      <w:r>
        <w:rPr/>
        <w:t xml:space="preserve"> During incarceration in the state facility, offenders sentenced under this section shall undergo a comprehensive substance abuse assessment and receive, within available resources, treatment services appropriate for the offender. The </w:t>
      </w:r>
      <w:r>
        <w:rPr>
          <w:u w:val="single"/>
        </w:rPr>
        <w:t xml:space="preserve">substance abuse</w:t>
      </w:r>
      <w:r>
        <w:rPr/>
        <w:t xml:space="preserv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u w:val="single"/>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 </w:t>
      </w:r>
      <w:r>
        <w:rPr>
          <w:u w:val="single"/>
        </w:rPr>
        <w:t xml:space="preserve">and, when applicable, the domestic violence treatment program</w:t>
      </w:r>
      <w:r>
        <w:rPr/>
        <w:t xml:space="preserve">.</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chemical dependency</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tool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504, 601, 602, and 701 through 708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a00920d5f8b245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a244c302141de" /><Relationship Type="http://schemas.openxmlformats.org/officeDocument/2006/relationships/footer" Target="/word/footer1.xml" Id="Ra00920d5f8b2450c" /></Relationships>
</file>