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cd008ee07842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1582</w:t>
      </w:r>
    </w:p>
    <w:p>
      <w:pPr>
        <w:jc w:val="center"/>
        <w:spacing w:before="480" w:after="0" w:line="240"/>
      </w:pPr>
      <w:r>
        <w:t xml:space="preserve">Chapter </w:t>
      </w:r>
      <w:r>
        <w:rPr/>
        <w:t xml:space="preserve">342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MANUFACTURED/MOBILE HOME TENANTS--VARIOUS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60</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36</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Gregerson, Kloba, Peterson, Valdez, Pollet, Wylie, Appleton, Bergquist, Doglio, Reeves, Tharinger, Kirby, Jinkins,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 tenant protections; amending RCW 59.20.030, 59.20.045, 59.20.060, 59.20.070, 59.20.073, 59.20.080, 59.20.210, and 59.21.030; adding new sections to chapter 59.20 RCW; adding a new section to chapter 59.21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w:t>
      </w:r>
      <w:r>
        <w:rPr>
          <w:u w:val="single"/>
        </w:rPr>
        <w:t xml:space="preserve">"Housing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(4)</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 the tenant was provided at least thirty days' written notice of the new or amended rule. The tenant must be provided with at least three months to comply with the new or amended rule after the thirty-day notice period. Within the three-month grace period, any violation of the new or amended rule must result in a warning only. After expiration of the three-month grace period, any violation of the new or amended rule subjects the tenant to termination of the tenancy as authorized under RCW 59.20.080(1)(a)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w:t>
      </w:r>
      <w:r>
        <w:rPr>
          <w:u w:val="single"/>
        </w:rPr>
        <w:t xml:space="preserve">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 </w:t>
      </w:r>
      <w:r>
        <w:rPr>
          <w:u w:val="single"/>
        </w:rPr>
        <w:t xml:space="preserve">together with a statement that, in the event any utilities are to be charged independent of the rent during the term of the rental agreement, the landlord agrees to decrease the amount of the rent charged proportionately</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is located;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r>
        <w:rPr>
          <w:u w:val="single"/>
        </w:rPr>
        <w:t xml:space="preserve">; and</w:t>
      </w:r>
    </w:p>
    <w:p>
      <w:pPr>
        <w:spacing w:before="0" w:after="0" w:line="408" w:lineRule="exact"/>
        <w:ind w:left="0" w:right="0" w:firstLine="576"/>
        <w:jc w:val="left"/>
      </w:pPr>
      <w:r>
        <w:rPr>
          <w:u w:val="single"/>
        </w:rPr>
        <w:t xml:space="preserve">(o) A written statement containing accurate historical information regarding the past five years' rental amount charged for the lot or space</w:t>
      </w:r>
      <w:r>
        <w:rPr/>
        <w:t xml:space="preserv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annually if the </w:t>
      </w:r>
      <w:r>
        <w:rPr>
          <w:u w:val="single"/>
        </w:rPr>
        <w:t xml:space="preserve">initial</w:t>
      </w:r>
      <w:r>
        <w:rPr/>
        <w:t xml:space="preserv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annual increases in rent in specified amounts or by a formula specified in such agreement</w:t>
      </w:r>
      <w:r>
        <w:rPr>
          <w:u w:val="single"/>
        </w:rPr>
        <w:t xml:space="preserve">.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r>
        <w:rPr/>
        <w:t xml:space="preserv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w:t>
      </w:r>
      <w:r>
        <w:rPr>
          <w:u w:val="single"/>
        </w:rPr>
        <w:t xml:space="preserve">In accordance with RCW 59.20.045(6), s</w:t>
      </w:r>
      <w:r>
        <w:rPr/>
        <w:t xml:space="preserve">ubstantial violation, or repeated or periodic violations, of an enforceable rule of the mobile home park as established by the landlord at the inception of </w:t>
      </w:r>
      <w:r>
        <w:rPr>
          <w:u w:val="single"/>
        </w:rPr>
        <w:t xml:space="preserve">or during</w:t>
      </w:r>
      <w:r>
        <w:rPr/>
        <w:t xml:space="preserve"> the tenancy </w:t>
      </w:r>
      <w:r>
        <w:t>((</w:t>
      </w:r>
      <w:r>
        <w:rPr>
          <w:strike/>
        </w:rPr>
        <w:t xml:space="preserve">or as assumed subsequently with the consent of the tenant</w:t>
      </w:r>
      <w:r>
        <w:t>))</w:t>
      </w:r>
      <w:r>
        <w:rPr/>
        <w:t xml:space="preserve">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twenty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fourteen</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w:t>
      </w:r>
      <w:r>
        <w:rPr>
          <w:u w:val="single"/>
        </w:rPr>
        <w:t xml:space="preserve">closure of the mobile home park or</w:t>
      </w:r>
      <w:r>
        <w:rPr/>
        <w:t xml:space="preserve"> conversion to a use other than for mobile homes, manufactured homes, or park models or conversion of the mobile home park to a mobile home park cooperative or mobile home park subdivision. The landlord shall give the tenants twelve months' notice in advance of the effective date of such change</w:t>
      </w:r>
      <w:r>
        <w:rPr>
          <w:u w:val="single"/>
        </w:rPr>
        <w:t xml:space="preserve">. The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as determined by the county assessor as of the date the closure notice is issued, at any point during the closure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twenty-day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fourteen-day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landlord who has complied with the notice requirements under RCW 59.20.080(1)(e) may provide a short-term rental agreement for a recreational vehicle for any mobile home lot or space that is vacant at the time of or becomes vacant after the notice of closure or conversion is provided. The rental agreement term for such recreational vehicles must be for no longer than the date on which the mobile home park is officially closed. Any short-term rental agreement provided under this section is not subject to the provisions of this chapter. For purposes of this section, a "recreational vehicle" does not mean a park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w:t>
      </w:r>
      <w:r>
        <w:rPr>
          <w:u w:val="single"/>
        </w:rPr>
        <w:t xml:space="preserve">(a)</w:t>
      </w:r>
      <w:r>
        <w:rPr/>
        <w:t xml:space="preserve">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u w:val="single"/>
        </w:rPr>
        <w:t xml:space="preserve">(b) Upon receipt of any such bids, the landlord shall provide the tenant with a copy of the notice regarding the manufactured/mobile home dispute resolution program that the attorney general is required to produce pursuant to RCW 59.30.030(3)(a) and that landlords are required to post pursuant to RCW 59.30.030(3)(b)(i).</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shall not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 in accordance with
court rule GR 15.</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w:t>
      </w:r>
      <w:r>
        <w:rPr>
          <w:u w:val="single"/>
        </w:rPr>
        <w:t xml:space="preserve">conspicuously</w:t>
      </w:r>
      <w:r>
        <w:rPr/>
        <w:t xml:space="preserve">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0" w:after="0" w:line="408" w:lineRule="exact"/>
        <w:ind w:left="0" w:right="0" w:firstLine="0"/>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twelve months after the date this closure notice is given.</w:t>
      </w:r>
    </w:p>
    <w:p>
      <w:pPr>
        <w:spacing w:before="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produce and maintain on its web site translated versions of the notice under RCW 59.21.030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make recommendations about mobile home park rental agreement terms, notices on the closure or conversion of manufactured/mobile home communities, and amendments, changes, or additions to mobile home park rules under chapter 59.20 RCW.</w:t>
      </w:r>
    </w:p>
    <w:p>
      <w:pPr>
        <w:spacing w:before="0" w:after="0" w:line="408" w:lineRule="exact"/>
        <w:ind w:left="0" w:right="0" w:firstLine="576"/>
        <w:jc w:val="left"/>
      </w:pPr>
      <w:r>
        <w:rPr/>
        <w:t xml:space="preserve">(2) The work group shall assess perspectives on manufactured/mobile home landlord-tenant laws and policies and facilitate discussions amongst relevant stakeholders representing both mobile home park owners and tenants to reach agreed upon recommendations.</w:t>
      </w:r>
    </w:p>
    <w:p>
      <w:pPr>
        <w:spacing w:before="0" w:after="0" w:line="408" w:lineRule="exact"/>
        <w:ind w:left="0" w:right="0" w:firstLine="576"/>
        <w:jc w:val="left"/>
      </w:pPr>
      <w:r>
        <w:rPr/>
        <w:t xml:space="preserve">(3) Specifically, the study must:</w:t>
      </w:r>
    </w:p>
    <w:p>
      <w:pPr>
        <w:spacing w:before="0" w:after="0" w:line="408" w:lineRule="exact"/>
        <w:ind w:left="0" w:right="0" w:firstLine="576"/>
        <w:jc w:val="left"/>
      </w:pPr>
      <w:r>
        <w:rPr/>
        <w:t xml:space="preserve">(a) Evaluate the impact of various rental agreement terms and provide recommendations on the best option for the duration of rental agreement terms;</w:t>
      </w:r>
    </w:p>
    <w:p>
      <w:pPr>
        <w:spacing w:before="0" w:after="0" w:line="408" w:lineRule="exact"/>
        <w:ind w:left="0" w:right="0" w:firstLine="576"/>
        <w:jc w:val="left"/>
      </w:pPr>
      <w:r>
        <w:rPr/>
        <w:t xml:space="preserve">(b) Evaluate the impact of various notice periods when manufactured/mobile home parks are scheduled to be closed or converted to another use and provide recommendations on the best option for a notice period for such park closures or conversions;</w:t>
      </w:r>
    </w:p>
    <w:p>
      <w:pPr>
        <w:spacing w:before="0" w:after="0" w:line="408" w:lineRule="exact"/>
        <w:ind w:left="0" w:right="0" w:firstLine="576"/>
        <w:jc w:val="left"/>
      </w:pPr>
      <w:r>
        <w:rPr/>
        <w:t xml:space="preserve">(c) Evaluate possible approaches to increasing the amount of manufactured housing communities in Washington, including siting and development of new manufactured housing communities;</w:t>
      </w:r>
    </w:p>
    <w:p>
      <w:pPr>
        <w:spacing w:before="0" w:after="0" w:line="408" w:lineRule="exact"/>
        <w:ind w:left="0" w:right="0" w:firstLine="576"/>
        <w:jc w:val="left"/>
      </w:pPr>
      <w:r>
        <w:rPr/>
        <w:t xml:space="preserve">(d) Evaluate methods to incentivize and build new manufactured housing community developments; and</w:t>
      </w:r>
    </w:p>
    <w:p>
      <w:pPr>
        <w:spacing w:before="0" w:after="0" w:line="408" w:lineRule="exact"/>
        <w:ind w:left="0" w:right="0" w:firstLine="576"/>
        <w:jc w:val="left"/>
      </w:pPr>
      <w:r>
        <w:rPr/>
        <w:t xml:space="preserve">(e) Evaluate the impact of various processes for amending or adding to mobile home park rules, including appropriate notice periods, and provide recommendations on the best process for amending or adding to park rules.</w:t>
      </w:r>
    </w:p>
    <w:p>
      <w:pPr>
        <w:spacing w:before="0" w:after="0" w:line="408" w:lineRule="exact"/>
        <w:ind w:left="0" w:right="0" w:firstLine="576"/>
        <w:jc w:val="left"/>
      </w:pPr>
      <w:r>
        <w:rPr/>
        <w:t xml:space="preserve">(4) The study must begin by August 1, 2019. The department of commerce must issue a final report, including the result of any facilitated agreed upon recommendations, to the appropriate committees of the legislature by June 30, 2020.</w:t>
      </w:r>
    </w:p>
    <w:p>
      <w:pPr>
        <w:spacing w:before="0" w:after="0" w:line="408" w:lineRule="exact"/>
        <w:ind w:left="0" w:right="0" w:firstLine="576"/>
        <w:jc w:val="left"/>
      </w:pPr>
      <w:r>
        <w:rPr/>
        <w:t xml:space="preserve">(5) This section expires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3e623929b29b45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317c75c984af0" /><Relationship Type="http://schemas.openxmlformats.org/officeDocument/2006/relationships/footer" Target="/word/footer1.xml" Id="R3e623929b29b45c1" /></Relationships>
</file>