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15ba8681a49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1607</w:t>
      </w:r>
    </w:p>
    <w:p>
      <w:pPr>
        <w:jc w:val="center"/>
        <w:spacing w:before="480" w:after="0" w:line="240"/>
      </w:pPr>
      <w:r>
        <w:t xml:space="preserve">Chapter </w:t>
      </w:r>
      <w:r>
        <w:rPr/>
        <w:t xml:space="preserve">267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MARKET PARTICIPANTS--MATERIAL CHANGES--NOTICE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63</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Caldier, Jinkins, Robinson, Macri, and Cody)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participants in the health care marketplace;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the intent of the legislature to ensure that competition beneficial to consumers in health care markets across Washington remains vigorous and robust. The legislature supports that intent through this act,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act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w:t>
      </w:r>
    </w:p>
    <w:p>
      <w:pPr>
        <w:spacing w:before="0" w:after="0" w:line="408" w:lineRule="exact"/>
        <w:ind w:left="0" w:right="0" w:firstLine="576"/>
        <w:jc w:val="left"/>
      </w:pPr>
      <w:r>
        <w:rPr/>
        <w:t xml:space="preserve">(5) "Health care services revenue" means the total revenue received for health care services in the previous twelve months.</w:t>
      </w:r>
    </w:p>
    <w:p>
      <w:pPr>
        <w:spacing w:before="0" w:after="0" w:line="408" w:lineRule="exact"/>
        <w:ind w:left="0" w:right="0" w:firstLine="576"/>
        <w:jc w:val="left"/>
      </w:pPr>
      <w:r>
        <w:rPr/>
        <w:t xml:space="preserve">(6)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rPr/>
        <w:t xml:space="preserve">(7) "Hospital" means a facility licensed under chapter 70.41 or 71.12 RCW.</w:t>
      </w:r>
    </w:p>
    <w:p>
      <w:pPr>
        <w:spacing w:before="0" w:after="0" w:line="408" w:lineRule="exact"/>
        <w:ind w:left="0" w:right="0" w:firstLine="576"/>
        <w:jc w:val="left"/>
      </w:pPr>
      <w:r>
        <w:rPr/>
        <w:t xml:space="preserve">(8)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rPr/>
        <w:t xml:space="preserve">(9)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rPr/>
        <w:t xml:space="preserve">(10) "Person" means, where applicable, natural persons, corporations, trusts, and partnerships.</w:t>
      </w:r>
    </w:p>
    <w:p>
      <w:pPr>
        <w:spacing w:before="0" w:after="0" w:line="408" w:lineRule="exact"/>
        <w:ind w:left="0" w:right="0" w:firstLine="576"/>
        <w:jc w:val="left"/>
      </w:pPr>
      <w:r>
        <w:rPr/>
        <w:t xml:space="preserve">(11) "Provider" means a natural person who practices a profession identified in RCW 18.130.040.</w:t>
      </w:r>
    </w:p>
    <w:p>
      <w:pPr>
        <w:spacing w:before="0" w:after="0" w:line="408" w:lineRule="exact"/>
        <w:ind w:left="0" w:right="0" w:firstLine="576"/>
        <w:jc w:val="left"/>
      </w:pPr>
      <w:r>
        <w:rPr/>
        <w:t xml:space="preserve">(12)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rPr/>
        <w:t xml:space="preserve">(13)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MATERIAL CHANGE.</w:t>
      </w:r>
      <w:r>
        <w:t xml:space="preserve">  </w:t>
      </w:r>
      <w:r>
        <w:rPr/>
        <w:t xml:space="preserve">(1) Not less than sixty days prior to the effective date of any transaction that results in a material change, the parties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includes proposed changes identified in subsection (2) of this section between a Washington entity and an out-of-state entity where the out-of-state entity generates ten million dollars or more in health care services revenue from patients residing in Washington state, and the entities are of the types identified in subsection (2) of this section. Any party to a material change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if the hospitals, hospital systems, or provider organizations did not previously have common ownership or a contracting affiliation.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REQUIREMENTS.</w:t>
      </w:r>
      <w:r>
        <w:t xml:space="preserve">  </w:t>
      </w:r>
      <w:r>
        <w:rPr/>
        <w:t xml:space="preserve">(1) The written notice provided by the parties, as required by section 3 of this act,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and</w:t>
      </w:r>
    </w:p>
    <w:p>
      <w:pPr>
        <w:spacing w:before="0" w:after="0" w:line="408" w:lineRule="exact"/>
        <w:ind w:left="0" w:right="0" w:firstLine="576"/>
        <w:jc w:val="left"/>
      </w:pPr>
      <w:r>
        <w:rPr/>
        <w:t xml:space="preserve">(d) The anticipated effective date of the proposed material change.</w:t>
      </w:r>
    </w:p>
    <w:p>
      <w:pPr>
        <w:spacing w:before="0" w:after="0" w:line="408" w:lineRule="exact"/>
        <w:ind w:left="0" w:right="0" w:firstLine="576"/>
        <w:jc w:val="left"/>
      </w:pPr>
      <w:r>
        <w:rPr/>
        <w:t xml:space="preserve">(2) Nothing in this section prohibits the parties to a material change from voluntarily providing additional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 FOR ADDITIONAL INFORMATION.</w:t>
      </w:r>
      <w:r>
        <w:t xml:space="preserve">  </w:t>
      </w:r>
      <w:r>
        <w:rPr/>
        <w:t xml:space="preserve">The attorney general shall make any requests for additional information from the parties under RCW 19.86.110 within thirty days of the date notice is received under sections 3 and 4 of this act. Nothing in this section precludes the attorney general from conducting an investigation or enforcing state or federal antitrust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HART-SCOTT-RODINO ACT.</w:t>
      </w:r>
      <w:r>
        <w:t xml:space="preserve">  </w:t>
      </w:r>
      <w:r>
        <w:rPr/>
        <w:t xml:space="preserve">Any provider or provider organization conducting business in this state that files a premerger notification with the federal trade commission or the United States department of justice, in compliance with the Hart-Scott-Rodino antitrust improvements act, Title 15 U.S.C. Sec. 18a, shall provide a copy of such filing to the attorney general. Providing a copy of the Hart-Scott-Rodino filing to the attorney general satisfies the notice requirement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SUBMITTED TO THE ATTORNEY GENERAL.</w:t>
      </w:r>
      <w:r>
        <w:t xml:space="preserve">  </w:t>
      </w:r>
      <w:r>
        <w:rPr/>
        <w:t xml:space="preserve">Information submitted to the attorney general pursuant to this chapter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PENALTY FOR NONCOMPLIANCE.</w:t>
      </w:r>
      <w:r>
        <w:t xml:space="preserve">  </w:t>
      </w:r>
      <w:r>
        <w:rPr/>
        <w:t xml:space="preserve">Any person who fails to comply with any provision of this chapter is liable to the state for a civil penalty of not more than two hundred dollars per day for each day during which such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notice requirement in section 3 of this act applies to transactions with an anticipated effective date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72558e1357447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8793ab92543f4" /><Relationship Type="http://schemas.openxmlformats.org/officeDocument/2006/relationships/footer" Target="/word/footer1.xml" Id="R172558e135744794" /></Relationships>
</file>