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a5ee6c39b48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1652</w:t>
      </w:r>
    </w:p>
    <w:p>
      <w:pPr>
        <w:jc w:val="center"/>
        <w:spacing w:before="480" w:after="0" w:line="240"/>
      </w:pPr>
      <w:r>
        <w:t xml:space="preserve">Chapter </w:t>
      </w:r>
      <w:r>
        <w:rPr/>
        <w:t xml:space="preserve">344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ARCHITECTURAL PAINT WASTE--STEWARDSHIP PROGRAM</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62</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26</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1652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DeBolt, Goodman, Fitzgibbon, Appleton, Ortiz-Self, Hudgins, Orwall, Jinkins, Sells, Tharinger, Kloba, Senn, Pollet, Stanford, Bergquist, and Macri)</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reenacting and amending RCW 42.56.270; adding a new section to chapter 82.04 RCW;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containers may rupture, releasing fumes hazardous to workers and the remaining liquids may contribute to leachate problems in landfills. Some local governments are able to devote resources to provide collection sites or events for latex paint in order to provide their residents with at least some disposal options and to keep latex paint out of the solid waste stream. But residents and small businesses need additional and more convenient options for disposal of architectural paint. Drying latex for disposal is difficult for many residents and is wasteful of latex paint that can otherwise be reused or recycled. Local government special and moderate-risk waste collection programs are heavily impacted by the cost of managing unwanted architectural paints and these costs decrease the available funds to address other hazardous and hard-to-handle materials.</w:t>
      </w:r>
    </w:p>
    <w:p>
      <w:pPr>
        <w:spacing w:before="0" w:after="0" w:line="408" w:lineRule="exact"/>
        <w:ind w:left="0" w:right="0" w:firstLine="576"/>
        <w:jc w:val="left"/>
      </w:pPr>
      <w:r>
        <w:rPr/>
        <w:t xml:space="preserve">(2) Nationally, an estimated average of ten percent of architectural paint purchased becomes leftover paint.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(3)(a) It is in the best interest of Washington for paint manufacturers to assume responsibility for the development and implementation of a cost-effective paint stewardship program that:</w:t>
      </w:r>
    </w:p>
    <w:p>
      <w:pPr>
        <w:spacing w:before="0" w:after="0" w:line="408" w:lineRule="exact"/>
        <w:ind w:left="0" w:right="0" w:firstLine="576"/>
        <w:jc w:val="left"/>
      </w:pPr>
      <w:r>
        <w:rPr/>
        <w:t xml:space="preserve">(i) Develops and implements strategies to reduce the generation of leftover paint;</w:t>
      </w:r>
    </w:p>
    <w:p>
      <w:pPr>
        <w:spacing w:before="0" w:after="0" w:line="408" w:lineRule="exact"/>
        <w:ind w:left="0" w:right="0" w:firstLine="576"/>
        <w:jc w:val="left"/>
      </w:pPr>
      <w:r>
        <w:rPr/>
        <w:t xml:space="preserve">(ii) Promotes the reuse of leftover paint;</w:t>
      </w:r>
    </w:p>
    <w:p>
      <w:pPr>
        <w:spacing w:before="0" w:after="0" w:line="408" w:lineRule="exact"/>
        <w:ind w:left="0" w:right="0" w:firstLine="576"/>
        <w:jc w:val="left"/>
      </w:pPr>
      <w:r>
        <w:rPr/>
        <w:t xml:space="preserve">(iii) Collects, transports, and processes leftover paint for end-of-life management, including reuse, recycling, energy recovery, and disposal; and</w:t>
      </w:r>
    </w:p>
    <w:p>
      <w:pPr>
        <w:spacing w:before="0" w:after="0" w:line="408" w:lineRule="exact"/>
        <w:ind w:left="0" w:right="0" w:firstLine="576"/>
        <w:jc w:val="left"/>
      </w:pPr>
      <w:r>
        <w:rPr/>
        <w:t xml:space="preserve">(iv) Provides for transparency under chapter 42.56 RCW, the public records act.</w:t>
      </w:r>
    </w:p>
    <w:p>
      <w:pPr>
        <w:spacing w:before="0" w:after="0" w:line="408" w:lineRule="exact"/>
        <w:ind w:left="0" w:right="0" w:firstLine="576"/>
        <w:jc w:val="left"/>
      </w:pPr>
      <w:r>
        <w:rPr/>
        <w:t xml:space="preserve">(b) A paint stewardship program will follow the paint waste management hierarchy for managing and reducing leftover paint in the order as follows:</w:t>
      </w:r>
    </w:p>
    <w:p>
      <w:pPr>
        <w:spacing w:before="0" w:after="0" w:line="408" w:lineRule="exact"/>
        <w:ind w:left="0" w:right="0" w:firstLine="576"/>
        <w:jc w:val="left"/>
      </w:pPr>
      <w:r>
        <w:rPr/>
        <w:t xml:space="preserve">(i) Reduce consumer generation of leftover paint;</w:t>
      </w:r>
    </w:p>
    <w:p>
      <w:pPr>
        <w:spacing w:before="0" w:after="0" w:line="408" w:lineRule="exact"/>
        <w:ind w:left="0" w:right="0" w:firstLine="576"/>
        <w:jc w:val="left"/>
      </w:pPr>
      <w:r>
        <w:rPr/>
        <w:t xml:space="preserve">(ii) Reuse;</w:t>
      </w:r>
    </w:p>
    <w:p>
      <w:pPr>
        <w:spacing w:before="0" w:after="0" w:line="408" w:lineRule="exact"/>
        <w:ind w:left="0" w:right="0" w:firstLine="576"/>
        <w:jc w:val="left"/>
      </w:pPr>
      <w:r>
        <w:rPr/>
        <w:t xml:space="preserve">(iii) Recycle; and</w:t>
      </w:r>
    </w:p>
    <w:p>
      <w:pPr>
        <w:spacing w:before="0" w:after="0" w:line="408" w:lineRule="exact"/>
        <w:ind w:left="0" w:right="0" w:firstLine="576"/>
        <w:jc w:val="left"/>
      </w:pPr>
      <w:r>
        <w:rPr/>
        <w:t xml:space="preserve">(iv) Provide for energy recovery and disposal.</w:t>
      </w:r>
    </w:p>
    <w:p>
      <w:pPr>
        <w:spacing w:before="0" w:after="0" w:line="408" w:lineRule="exact"/>
        <w:ind w:left="0" w:right="0" w:firstLine="576"/>
        <w:jc w:val="left"/>
      </w:pPr>
      <w:r>
        <w:rPr/>
        <w:t xml:space="preserve">(c) The establishment of a comprehensive leftover paint management program that requires paint manufacturers to assume responsibility for the collection, recycling, reuse, transportation, and disposal of leftover paint, and that allows paint retailers to voluntarily participate in the collection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Washington's existing waste collection, recycling, and disposal system leads the nation in innovation and environmentally sound practices. This system has achieved some of the highest overall recycling rates in the nation at fifty-one percent in 2012. The legislature further finds that leftover paint may be a toxic and hard-to-handle waste product that is appropriate for a product stewardship program to increase the safe, convenient, and effective reuse, recycling, and disposal of leftover paint. Product stewardship programs for toxic and hard-to-handle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stewardship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content clearly requires otherwise.</w:t>
      </w:r>
    </w:p>
    <w:p>
      <w:pPr>
        <w:spacing w:before="0" w:after="0" w:line="408" w:lineRule="exact"/>
        <w:ind w:left="0" w:right="0" w:firstLine="576"/>
        <w:jc w:val="left"/>
      </w:pPr>
      <w:r>
        <w:rPr/>
        <w:t xml:space="preserve">(1)(a) "Architectural paint" or "paint" means interior and exterior architectural coatings, sold in a container of five gallons or less.</w:t>
      </w:r>
    </w:p>
    <w:p>
      <w:pPr>
        <w:spacing w:before="0" w:after="0" w:line="408" w:lineRule="exact"/>
        <w:ind w:left="0" w:right="0" w:firstLine="576"/>
        <w:jc w:val="left"/>
      </w:pPr>
      <w:r>
        <w:rPr/>
        <w:t xml:space="preserve">(b) "Architectural paint" or "paint" does not mean industrial coatings, original equipment coatings,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includes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 any: (a) Household; (b) conditionally exempt small quantity generator of leftover oil-based and latex architectural paint; or (c) generator of dangerous waste as defined in RCW 70.105.010 that brings leftover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leftover architectural paint from residential sources, such as single-family households and multifamily housing, or other covered entities in quantities generated from households or conditionally exempt small quantity generators, provided by a solid waste collection company regulated under chapter 81.77 RCW or under a contract for solid waste services with any city or town.</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practices that comply with all applicable laws and rules to protect workers, public health, and the environment, provide for adequate recordkeeping, tracking and documenting the fate of materials within the state and beyond, and include environmental liability coverage for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or "leftover architectural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includes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(20) "Recycling" means transforming or remanufacturing waste materials into usable or marketable materials for use other than landfill disposal, energy recovery, or incineration. Recycling does not include collection, compacting, repacking, and sorting for the purpose of transport.</w:t>
      </w:r>
    </w:p>
    <w:p>
      <w:pPr>
        <w:spacing w:before="0" w:after="0" w:line="408" w:lineRule="exact"/>
        <w:ind w:left="0" w:right="0" w:firstLine="576"/>
        <w:jc w:val="left"/>
      </w:pPr>
      <w:r>
        <w:rPr/>
        <w:t xml:space="preserve">(21)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(22)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(23) "Stewardship organization" means a nonprofit organization created by a producer or group of producers to implement a paint stewardship program required under this chapter.</w:t>
      </w:r>
    </w:p>
    <w:p>
      <w:pPr>
        <w:spacing w:before="0" w:after="0" w:line="408" w:lineRule="exact"/>
        <w:ind w:left="0" w:right="0" w:firstLine="576"/>
        <w:jc w:val="left"/>
      </w:pPr>
      <w:r>
        <w:rPr/>
        <w:t xml:space="preserve">(24) "Urban cluster" means areas of population density of two thousand five hundred to fifty thousand, as defined by the United States census bureau.</w:t>
      </w:r>
    </w:p>
    <w:p>
      <w:pPr>
        <w:spacing w:before="0" w:after="0" w:line="408" w:lineRule="exact"/>
        <w:ind w:left="0" w:right="0" w:firstLine="576"/>
        <w:jc w:val="left"/>
      </w:pPr>
      <w:r>
        <w:rPr/>
        <w:t xml:space="preserve">(25) "Urbanized area" means areas of high population density with populations of fifty thousand or greater, as defined by the United States census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May 30, 2020, or within one year of the effective date of this section, whichever comes later.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paint retailer has negotiated a voluntary agreement with the producer and stewardship organization to remit the architectural paint stewardship assessment directly to the stewardship organization on behalf of the producer for the producer's architectural paint sold by the distributor or paint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unless the distributor or paint retailer has negotiated an agreement voluntarily with the producer and stewardship organization to remit the assessment directly to the stewardship organization on behalf of the producer for the producer's architectural paint sold by the distributor or paint retailer in the state. Each Washington paint retailer or distributor must add the assessment to the purchase price of all architectural paint sold in this state. Manufacturers may not require retailers to opt to participate in a voluntary remittance agreement;</w:t>
      </w:r>
    </w:p>
    <w:p>
      <w:pPr>
        <w:spacing w:before="0" w:after="0" w:line="408" w:lineRule="exact"/>
        <w:ind w:left="0" w:right="0" w:firstLine="576"/>
        <w:jc w:val="left"/>
      </w:pPr>
      <w:r>
        <w:rPr/>
        <w:t xml:space="preserve">(d) The establishment in the plan of a uniform architectural paint stewardship assessment for all architectural paint sold in this state, in order to ensure that the funding mechanism is equitable and sustainable. For purposes of establishing the assessment, the plan must categorize the sizes of paint containers sold at retail and determine a uniform assessment amount that applies to each category of container size. The architectural paint stewardship assessment must be sufficient to recover the costs of the architectural paint stewardship program. With the exception of the annual administration costs paid to the department under section 6(4) of this act, the department may not control or have spending authority related to the funds received by the stewardship organization from the assessment. Funds received by the stewardship organization are not state funds and are not eligible to be transferred for other state purposes in an appropriations act. The plan must require that any surplus funds generated from the funding mechanism that exceed a reserve greater than the most recent year's operating expenditures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A review by an independent financial auditor of the proposed architectural paint stewardship assessment to ensure that any added cost to paint sold in the state as a result of the paint stewardship program does not exceed the costs of the program. In a report to the department, the independent auditor must verify that the amount added to each unit of paint will cover the costs of the paint stewardship program;</w:t>
      </w:r>
    </w:p>
    <w:p>
      <w:pPr>
        <w:spacing w:before="0" w:after="0" w:line="408" w:lineRule="exact"/>
        <w:ind w:left="0" w:right="0" w:firstLine="576"/>
        <w:jc w:val="left"/>
      </w:pPr>
      <w:r>
        <w:rPr/>
        <w:t xml:space="preserve">(f) Assignment to the department of responsibility for the approval of the architectural paint stewardship assessment based on the information provided in the plan and the auditor's report;</w:t>
      </w:r>
    </w:p>
    <w:p>
      <w:pPr>
        <w:spacing w:before="0" w:after="0" w:line="408" w:lineRule="exact"/>
        <w:ind w:left="0" w:right="0" w:firstLine="576"/>
        <w:jc w:val="left"/>
      </w:pPr>
      <w:r>
        <w:rPr/>
        <w:t xml:space="preserve">(g) A description of the educational outreach strategy to reduce the generation of leftover paint, to promote the reuse and recycling of leftover paint, for the overall collection of leftover paint, and for the proper end-of-life management of leftover paint. The strategies may be revised by a stewardship organization based on the information collected annually;</w:t>
      </w:r>
    </w:p>
    <w:p>
      <w:pPr>
        <w:spacing w:before="0" w:after="0" w:line="408" w:lineRule="exact"/>
        <w:ind w:left="0" w:right="0" w:firstLine="576"/>
        <w:jc w:val="left"/>
      </w:pPr>
      <w:r>
        <w:rPr/>
        <w:t xml:space="preserve">(h) A description of the reasonably convenient and available statewide collection system, including:</w:t>
      </w:r>
    </w:p>
    <w:p>
      <w:pPr>
        <w:spacing w:before="0" w:after="0" w:line="408" w:lineRule="exact"/>
        <w:ind w:left="0" w:right="0" w:firstLine="576"/>
        <w:jc w:val="left"/>
      </w:pPr>
      <w:r>
        <w:rPr/>
        <w:t xml:space="preserve">(i) A description of how the program will provide for reasonably convenient and available statewide collection of leftover paint from covered entities in urban and rural areas of the state, including island communities;</w:t>
      </w:r>
    </w:p>
    <w:p>
      <w:pPr>
        <w:spacing w:before="0" w:after="0" w:line="408" w:lineRule="exact"/>
        <w:ind w:left="0" w:right="0" w:firstLine="576"/>
        <w:jc w:val="left"/>
      </w:pPr>
      <w:r>
        <w:rPr/>
        <w:t xml:space="preserve">(ii) A description of how the program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reuse or processing of leftover architectural paint at the permanent collection site; and</w:t>
      </w:r>
    </w:p>
    <w:p>
      <w:pPr>
        <w:spacing w:before="0" w:after="0" w:line="408" w:lineRule="exact"/>
        <w:ind w:left="0" w:right="0" w:firstLine="576"/>
        <w:jc w:val="left"/>
      </w:pPr>
      <w:r>
        <w:rPr/>
        <w:t xml:space="preserve">(B) The collection, transportation, and recycling or proper disposal of leftover architectural paint;</w:t>
      </w:r>
    </w:p>
    <w:p>
      <w:pPr>
        <w:spacing w:before="0" w:after="0" w:line="408" w:lineRule="exact"/>
        <w:ind w:left="0" w:right="0" w:firstLine="576"/>
        <w:jc w:val="left"/>
      </w:pPr>
      <w:r>
        <w:rPr/>
        <w:t xml:space="preserve">(i) A description of how leftover paint will be managed using environmentally sound management practices, including reasonably following the paint waste management hierarchy of: Source reduction; reuse; recycling; energy recovery; and disposal;</w:t>
      </w:r>
    </w:p>
    <w:p>
      <w:pPr>
        <w:spacing w:before="0" w:after="0" w:line="408" w:lineRule="exact"/>
        <w:ind w:left="0" w:right="0" w:firstLine="576"/>
        <w:jc w:val="left"/>
      </w:pPr>
      <w:r>
        <w:rPr/>
        <w:t xml:space="preserve">(j) A description of education and outreach efforts to promote the paint stewardship program. The education and outreach efforts must include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(k) A description of collection site procedural manuals for architectural paint products, including training procedures and electronic copies of materials that will be provided to collection sites; and</w:t>
      </w:r>
    </w:p>
    <w:p>
      <w:pPr>
        <w:spacing w:before="0" w:after="0" w:line="408" w:lineRule="exact"/>
        <w:ind w:left="0" w:right="0" w:firstLine="576"/>
        <w:jc w:val="left"/>
      </w:pPr>
      <w:r>
        <w:rPr/>
        <w:t xml:space="preserve">(l) A list of transporters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(2)(a) To ensure adequate collection coverage, the plan must use geographic information modeling and the information required under subsection (1)(h) of this section to determine the number and distribution of collection sites based on the following criteria: At least ninety percent of Washington residents must have a permanent collection site within a fifteen-mile radius; and unless otherwise approved by the department, one additional permanent site must be established for every thirty thousand residents of an urbanized area and for every urban cluster of at least thirty thousand residents distributed to provide convenient and reasonably equitable access for residents within each.</w:t>
      </w:r>
    </w:p>
    <w:p>
      <w:pPr>
        <w:spacing w:before="0" w:after="0" w:line="408" w:lineRule="exact"/>
        <w:ind w:left="0" w:right="0" w:firstLine="576"/>
        <w:jc w:val="left"/>
      </w:pPr>
      <w:r>
        <w:rPr/>
        <w:t xml:space="preserve">(b) For the portion of the population that does not have a permanent collection location within a fifteen-mile radius, the plan must provide residents a reasonable opportunity to drop off leftover paint at collection events. The stewardship organization, in consultation with the department and the local community, will determine a reasonable frequency and location of these collection events, to be held in underserved areas. Special consideration is to be made for providing opportunities to island and geographically isolated populations.</w:t>
      </w:r>
    </w:p>
    <w:p>
      <w:pPr>
        <w:spacing w:before="0" w:after="0" w:line="408" w:lineRule="exact"/>
        <w:ind w:left="0" w:right="0" w:firstLine="576"/>
        <w:jc w:val="left"/>
      </w:pPr>
      <w:r>
        <w:rPr/>
        <w:t xml:space="preserve">(3)(a) Nothing in subsection (2)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A fee may not be charged at the time the unwanted paint is delivered or collected for management. However, this subsection (3)(b) does not prohibit collectors providing curbside services from charging customers a fee, as provided by city contract or by the Washington utilities and transportation commission under the authority of chapter 81.77 RCW, for the additional collection cost of providing this service.</w:t>
      </w:r>
    </w:p>
    <w:p>
      <w:pPr>
        <w:spacing w:before="0" w:after="0" w:line="408" w:lineRule="exact"/>
        <w:ind w:left="0" w:right="0" w:firstLine="576"/>
        <w:jc w:val="left"/>
      </w:pPr>
      <w:r>
        <w:rPr/>
        <w:t xml:space="preserve">(4)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(5) The program must utilize existing paint retail stores as collection sites where cost-effective and mutually agreeable.</w:t>
      </w:r>
    </w:p>
    <w:p>
      <w:pPr>
        <w:spacing w:before="0" w:after="0" w:line="408" w:lineRule="exact"/>
        <w:ind w:left="0" w:right="0" w:firstLine="576"/>
        <w:jc w:val="left"/>
      </w:pPr>
      <w:r>
        <w:rPr/>
        <w:t xml:space="preserve">(6) The plan must provide the collection site name and location of each site statewide in Washington accepting architectural paint under the program.</w:t>
      </w:r>
    </w:p>
    <w:p>
      <w:pPr>
        <w:spacing w:before="0" w:after="0" w:line="408" w:lineRule="exact"/>
        <w:ind w:left="0" w:right="0" w:firstLine="576"/>
        <w:jc w:val="left"/>
      </w:pPr>
      <w:r>
        <w:rPr/>
        <w:t xml:space="preserve">(7) A stewardship organization shall promote a paint stewardship program and provide consumers, covered entities, and paint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(8) A stewardship organization must submit a new plan or plan amendment to the department for approval when there is a change to the amount of the assessment, if required by the department, or every five years, if the department deems it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help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program plan by November 30, 2020, or within six months after approval of a paint stewardship program plan under section 4 of this act, whichever is later.</w:t>
      </w:r>
    </w:p>
    <w:p>
      <w:pPr>
        <w:spacing w:before="0" w:after="0" w:line="408" w:lineRule="exact"/>
        <w:ind w:left="0" w:right="0" w:firstLine="576"/>
        <w:jc w:val="left"/>
      </w:pPr>
      <w:r>
        <w:rPr/>
        <w:t xml:space="preserve">(4) A stewardship organization shall submit an annual report by October 15, 2020, or a later date agreed to by the department, structured to be used as a basis for annual plan review by the department. The report must be based on the requirements outlined in section 8 of this act.</w:t>
      </w:r>
    </w:p>
    <w:p>
      <w:pPr>
        <w:spacing w:before="0" w:after="0" w:line="408" w:lineRule="exact"/>
        <w:ind w:left="0" w:right="0" w:firstLine="576"/>
        <w:jc w:val="left"/>
      </w:pPr>
      <w:r>
        <w:rPr/>
        <w:t xml:space="preserve">(5) A stewardship organization shall work with producers, distributors, paint retailers, and local governments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section 6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as to whether or not to approve the plan. The department shall provide a letter of approval for the plan if it provides for the establishment of a paint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provide oversight of a stewardship organization in the determination and implementation of the architectural paint stewardship assessment specified in section 4(1) of this act.</w:t>
      </w:r>
    </w:p>
    <w:p>
      <w:pPr>
        <w:spacing w:before="0" w:after="0" w:line="408" w:lineRule="exact"/>
        <w:ind w:left="0" w:right="0" w:firstLine="576"/>
        <w:jc w:val="left"/>
      </w:pPr>
      <w:r>
        <w:rPr/>
        <w:t xml:space="preserve">(4) The department shall identify the costs it incurs under this chapter. The department shall set the fee at an amount that, when paid by every stewardship organization or producer that submits a plan, is adequate to reimburse the department's full costs of administering and enforcing this chapter. The total amount of annual fees collected under this subsection must not exceed the amount necessary to reimburse costs incurred by the department to enforce and administer this chapter.</w:t>
      </w:r>
    </w:p>
    <w:p>
      <w:pPr>
        <w:spacing w:before="0" w:after="0" w:line="408" w:lineRule="exact"/>
        <w:ind w:left="0" w:right="0" w:firstLine="576"/>
        <w:jc w:val="left"/>
      </w:pPr>
      <w:r>
        <w:rPr/>
        <w:t xml:space="preserve">(5) A stewardship organization or producer subject to this chapter must pay the department's administrative fee under this subsection on or before June 30, 2020, and annually thereafter. The annual administrative fee may not exceed five percent of the aggregate assessment added to the cost of all architectural paint sold by producers in the state for the preceding calendar year.</w:t>
      </w:r>
    </w:p>
    <w:p>
      <w:pPr>
        <w:spacing w:before="0" w:after="0" w:line="408" w:lineRule="exact"/>
        <w:ind w:left="0" w:right="0" w:firstLine="576"/>
        <w:jc w:val="left"/>
      </w:pPr>
      <w:r>
        <w:rPr/>
        <w:t xml:space="preserve">(6) The department shall enforce this chapter.</w:t>
      </w:r>
    </w:p>
    <w:p>
      <w:pPr>
        <w:spacing w:before="0" w:after="0" w:line="408" w:lineRule="exact"/>
        <w:ind w:left="0" w:right="0" w:firstLine="576"/>
        <w:jc w:val="left"/>
      </w:pPr>
      <w:r>
        <w:rPr/>
        <w:t xml:space="preserve">(a)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administratively impose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(7) Upon the date the first plan is approved,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(8) Upon a demonstration to the satisfaction of the department that a previously unlisted producer is in compliance with this chapter, within fourteen days the department must add the name of the producer to its web site.</w:t>
      </w:r>
    </w:p>
    <w:p>
      <w:pPr>
        <w:spacing w:before="0" w:after="0" w:line="408" w:lineRule="exact"/>
        <w:ind w:left="0" w:right="0" w:firstLine="576"/>
        <w:jc w:val="left"/>
      </w:pPr>
      <w:r>
        <w:rPr/>
        <w:t xml:space="preserve">(9) The department shall review each annual report required pursuant to section 8 of this act within ninety days of its submission to ensure compliance with section 8(1)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participating in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distributor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leftover architectural paint collected through a paint stewardship program.</w:t>
      </w:r>
    </w:p>
    <w:p>
      <w:pPr>
        <w:spacing w:before="0" w:after="0" w:line="408" w:lineRule="exact"/>
        <w:ind w:left="0" w:right="0" w:firstLine="576"/>
        <w:jc w:val="left"/>
      </w:pPr>
      <w:r>
        <w:rPr/>
        <w:t xml:space="preserve">(4) Neither a paint retailer, nor any other retailer, is required to serve as a leftover paint collection facility.</w:t>
      </w:r>
    </w:p>
    <w:p>
      <w:pPr>
        <w:spacing w:before="0" w:after="0" w:line="408" w:lineRule="exact"/>
        <w:ind w:left="0" w:right="0" w:firstLine="576"/>
        <w:jc w:val="left"/>
      </w:pPr>
      <w:r>
        <w:rPr/>
        <w:t xml:space="preserve">(5) No fee may be charged at the time of delivery of leftover paint to a collection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2020, and annually thereafter, a stewardship organization shall submit to the department a report describing the paint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 including any increase in total volume of paint collected each year, and the cost of the paint stewardship program per gallon of paint collected;</w:t>
      </w:r>
    </w:p>
    <w:p>
      <w:pPr>
        <w:spacing w:before="0" w:after="0" w:line="408" w:lineRule="exact"/>
        <w:ind w:left="0" w:right="0" w:firstLine="576"/>
        <w:jc w:val="left"/>
      </w:pPr>
      <w:r>
        <w:rPr/>
        <w:t xml:space="preserve">(c)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(d) An estimate of the total weight of all paint containers recycled by the program;</w:t>
      </w:r>
    </w:p>
    <w:p>
      <w:pPr>
        <w:spacing w:before="0" w:after="0" w:line="408" w:lineRule="exact"/>
        <w:ind w:left="0" w:right="0" w:firstLine="576"/>
        <w:jc w:val="left"/>
      </w:pPr>
      <w:r>
        <w:rPr/>
        <w:t xml:space="preserve">(e) A list of all processors through final disposition that are used to manage leftover paint collected by the stewardship organization in the preceding year;</w:t>
      </w:r>
    </w:p>
    <w:p>
      <w:pPr>
        <w:spacing w:before="0" w:after="0" w:line="408" w:lineRule="exact"/>
        <w:ind w:left="0" w:right="0" w:firstLine="576"/>
        <w:jc w:val="left"/>
      </w:pPr>
      <w:r>
        <w:rPr/>
        <w:t xml:space="preserve">(f) A list of all the producers participating in the plan;</w:t>
      </w:r>
    </w:p>
    <w:p>
      <w:pPr>
        <w:spacing w:before="0" w:after="0" w:line="408" w:lineRule="exact"/>
        <w:ind w:left="0" w:right="0" w:firstLine="576"/>
        <w:jc w:val="left"/>
      </w:pPr>
      <w:r>
        <w:rPr/>
        <w:t xml:space="preserve">(g) The total volume of architectural paint sold in Washington during the preceding year based on the architectural paint stewardship assessment collected by the stewardship organization;</w:t>
      </w:r>
    </w:p>
    <w:p>
      <w:pPr>
        <w:spacing w:before="0" w:after="0" w:line="408" w:lineRule="exact"/>
        <w:ind w:left="0" w:right="0" w:firstLine="576"/>
        <w:jc w:val="left"/>
      </w:pPr>
      <w:r>
        <w:rPr/>
        <w:t xml:space="preserve">(h)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(i)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(j)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(k)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The department must make all reports submitted under this section available to the general public through the internet. Consistent with section 13 of this act, valuable commercial information submitted to the department under this chapter is exempt from public disclosure under RCW 42.56.270. However, the department may use and disclose such information in summary or aggregated form as long as the disclosure does not directly or indirectly identify financial, production, or sales data of an individual producer or stewardship organization. The department is not required to notify individual producers prior to making available to the general public the reports submitted under this section or aggregated or summarized information from reports submitted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program plan pursuant to section 4 of this act and thereby are subject to regulation by the department are granted immunity from state laws relating to antitrust, restraint of trade, unfair trade practices, and other regulation of trade and commerce, for the limited purpose of planning, reporting, and operating a paint stewardship program and proposing and establishing the architectural paint stewardship assessment required in section 4(1) (c)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records, subject to chapter 42.56 RCW, filed with the department from any person that contain valuable commercial information, including trade secrets, confidential marketing, cost, or financial information, or customer-specific usage information, are not subject to inspection or copying under chapter 42.56 RCW. When providing information to the department, a person shall designate which records or portions of records contain valuable commercial information.</w:t>
      </w:r>
    </w:p>
    <w:p>
      <w:pPr>
        <w:spacing w:before="0" w:after="0" w:line="408" w:lineRule="exact"/>
        <w:ind w:left="0" w:right="0" w:firstLine="576"/>
        <w:jc w:val="left"/>
      </w:pPr>
      <w:r>
        <w:rPr/>
        <w:t xml:space="preserve">(2) Upon receipt of a request to disclose valuable commercial information submitted under this chapter, the department must provide notice to the person or persons whose information is subject to possible inspection or copying under chapter 42.56 RCW.</w:t>
      </w:r>
    </w:p>
    <w:p>
      <w:pPr>
        <w:spacing w:before="0" w:after="0" w:line="408" w:lineRule="exact"/>
        <w:ind w:left="0" w:right="0" w:firstLine="576"/>
        <w:jc w:val="left"/>
      </w:pPr>
      <w:r>
        <w:rPr/>
        <w:t xml:space="preserve">(3) Upon the notice provided under subsection (2)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are not subject to inspection or copying if disclosure would result in private loss, including an unfair competitive disadvantage. If a person does not obtain an order protecting submitted records as confidential within ten days of receiving a notice from the department under subsection (2) of this section, the department may make the records available for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t>
      </w:r>
      <w:r>
        <w:t>((</w:t>
      </w:r>
      <w:r>
        <w:rPr>
          <w:strike/>
        </w:rPr>
        <w:t xml:space="preserve">or to a portal under RCW 21.20.883</w:t>
      </w:r>
      <w:r>
        <w:t>))</w:t>
      </w:r>
      <w:r>
        <w:rPr/>
        <w:t xml:space="preserve">,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r>
        <w:t>))</w:t>
      </w:r>
    </w:p>
    <w:p>
      <w:pPr>
        <w:spacing w:before="0" w:after="0" w:line="408" w:lineRule="exact"/>
        <w:ind w:left="0" w:right="0" w:firstLine="576"/>
        <w:jc w:val="left"/>
      </w:pPr>
      <w:r>
        <w:rPr/>
        <w:t xml:space="preserve">(30)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(31) Records filed with the department of ecology under chapter 70.--- RCW (the new chapter created in section 17 of this act) that a court has determined are confidential valuable commercial information under section 13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 RCW (the new chapter created in section 17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6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88ed94b1bf2e430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8cb39164644f4" /><Relationship Type="http://schemas.openxmlformats.org/officeDocument/2006/relationships/footer" Target="/word/footer1.xml" Id="R88ed94b1bf2e4302" /></Relationships>
</file>