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14afd2b954b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1734</w:t>
      </w:r>
    </w:p>
    <w:p>
      <w:pPr>
        <w:jc w:val="center"/>
        <w:spacing w:before="480" w:after="0" w:line="240"/>
      </w:pPr>
      <w:r>
        <w:t xml:space="preserve">Chapter </w:t>
      </w:r>
      <w:r>
        <w:rPr/>
        <w:t xml:space="preserve">272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COLLEGE IN THE HIGH SCHOOL PROGRAMS--ACCREDITATION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Leavitt, Boehnke, Van Werven, Slatter, Jinkins, and Santos)</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accreditation standards for college in the high school programs;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under RCW 28A.600.290,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under RCW 28A.600.290, during or before the 2019-20 academic year that are not accredited by a national accrediting body for concurrent enrollment must continue to meet the same quality and eligibility standards and obtain approval in a manner consistent with the procedure established by rules adopted under RCW 28A.600.290 for the college in the high school program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under RCW 28A.600.290,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programs under RCW 28B.50.531 or the running start program.</w:t>
      </w:r>
    </w:p>
    <w:p>
      <w:pPr>
        <w:spacing w:before="0" w:after="0" w:line="408" w:lineRule="exact"/>
        <w:ind w:left="0" w:right="0" w:firstLine="576"/>
        <w:jc w:val="left"/>
      </w:pPr>
      <w:r>
        <w:rPr/>
        <w:t xml:space="preserve">(b) "Public high school" means a high school that is a public school as defined in RCW 28A.150.010.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34bf10a1498d41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3e396313d4192" /><Relationship Type="http://schemas.openxmlformats.org/officeDocument/2006/relationships/footer" Target="/word/footer1.xml" Id="R34bf10a1498d41b3" /></Relationships>
</file>