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bd5fd9c5947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1754</w:t>
      </w:r>
    </w:p>
    <w:p>
      <w:pPr>
        <w:jc w:val="center"/>
        <w:spacing w:before="480" w:after="0" w:line="240"/>
      </w:pPr>
      <w:r>
        <w:t xml:space="preserve">Chapter </w:t>
      </w:r>
      <w:r>
        <w:rPr/>
        <w:t xml:space="preserve">223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RELIGIOUS ORGANIZATIONS--HOSTING OF THE HOMELESS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42</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Santos, Jinkins, and Pollet)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county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county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county's web site. A county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city or town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city or town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city or town's web site. A city or town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separation of time of no more than three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on-site, or indoor overnight shelter to seek public health and safety assistance, the resident's ability to access social services on-site,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on-site, indoor overnight shelter, or vehicle resident safe parking; and when a publicly funded managing agency exists, the ability for the host religious organization to interact with residents of the outdoor encampment, indoor overnight shelter, temporary small house on-site,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Have not been previously ruled by a court to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(10)(a) Prior to the opening of an outdoor encampment, indoor overnight shelter, temporary small house on-site,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code city legislative authority at least one week if possible but no later than ninety-six hours prior to the meeting. The notice must specify the time, place, and purpose of the meeting.</w:t>
      </w:r>
    </w:p>
    <w:p>
      <w:pPr>
        <w:spacing w:before="0" w:after="0" w:line="408" w:lineRule="exact"/>
        <w:ind w:left="0" w:right="0" w:firstLine="576"/>
        <w:jc w:val="left"/>
      </w:pPr>
      <w:r>
        <w:rPr>
          <w:u w:val="single"/>
        </w:rPr>
        <w:t xml:space="preserve">(b) A code city must provide community notice of the meeting described in (a) of this subsection by taking at least two of the following actions at any time prior to the time of the meeting:</w:t>
      </w:r>
    </w:p>
    <w:p>
      <w:pPr>
        <w:spacing w:before="0" w:after="0" w:line="408" w:lineRule="exact"/>
        <w:ind w:left="0" w:right="0" w:firstLine="576"/>
        <w:jc w:val="left"/>
      </w:pPr>
      <w:r>
        <w:rPr>
          <w:u w:val="single"/>
        </w:rPr>
        <w:t xml:space="preserve">(i) Delivering to each local newspaper of general circulation and local radio or television station that has on file with the governing body a written request to be notified of special meetings;</w:t>
      </w:r>
    </w:p>
    <w:p>
      <w:pPr>
        <w:spacing w:before="0" w:after="0" w:line="408" w:lineRule="exact"/>
        <w:ind w:left="0" w:right="0" w:firstLine="576"/>
        <w:jc w:val="left"/>
      </w:pPr>
      <w:r>
        <w:rPr>
          <w:u w:val="single"/>
        </w:rPr>
        <w:t xml:space="preserve">(ii) Posting on the code city's web site. A code city is not required to post a special meeting notice on its web site if it: (A) Does not have a web site; (B) employs fewer than ten full-time equivalent employees; or (C) does not employ personnel whose duty, as defined by a job description or existing contract, is to maintain or update the web site;</w:t>
      </w:r>
    </w:p>
    <w:p>
      <w:pPr>
        <w:spacing w:before="0" w:after="0" w:line="408" w:lineRule="exact"/>
        <w:ind w:left="0" w:right="0" w:firstLine="576"/>
        <w:jc w:val="left"/>
      </w:pPr>
      <w:r>
        <w:rPr>
          <w:u w:val="single"/>
        </w:rPr>
        <w:t xml:space="preserve">(iii) Prominently displaying, on signage at least two feet in height and two feet in width, one or more meeting notices that can be placed on or adjacent to the main arterials in proximity to the location of the meeting; or</w:t>
      </w:r>
    </w:p>
    <w:p>
      <w:pPr>
        <w:spacing w:before="0" w:after="0" w:line="408" w:lineRule="exact"/>
        <w:ind w:left="0" w:right="0" w:firstLine="576"/>
        <w:jc w:val="left"/>
      </w:pPr>
      <w:r>
        <w:rPr>
          <w:u w:val="single"/>
        </w:rPr>
        <w:t xml:space="preserve">(iv) Prominently displaying the notice at the meeting site.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70620927f08140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55af5286d461a" /><Relationship Type="http://schemas.openxmlformats.org/officeDocument/2006/relationships/footer" Target="/word/footer1.xml" Id="R70620927f08140dc" /></Relationships>
</file>