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896aac3794d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1768</w:t>
      </w:r>
    </w:p>
    <w:p>
      <w:pPr>
        <w:jc w:val="center"/>
        <w:spacing w:before="480" w:after="0" w:line="240"/>
      </w:pPr>
      <w:r>
        <w:t xml:space="preserve">Chapter </w:t>
      </w:r>
      <w:r>
        <w:rPr/>
        <w:t xml:space="preserve">444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SUBSTANCE USE DISORDER PROFESSIONALS--VARIOUS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13, which becomes effective August 1, 2020; and section 19, which becomes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Macri, Jinkins, Ormsby, Slatter,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18.205.080, 18.205.090, 18.205.095, 18.205.100, 10.77.079, 13.40.020, 13.40.042, 18.130.040, 43.70.442, 43.70.442, 70.97.010, 70.97.030, 71.34.020, 71.34.720, 71.34.720, 71.34.760, 18.130.175, 43.43.842, and 18.130.055; reenacting and amending RCW 71.05.020; adding new sections to chapter 18.205 RCW; adding a new section to chapter 18.83 RCW; adding a new section to chapter 18.225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0" w:after="0" w:line="408" w:lineRule="exact"/>
        <w:ind w:left="0" w:right="0" w:firstLine="576"/>
        <w:jc w:val="left"/>
      </w:pPr>
      <w:r>
        <w:rPr>
          <w:u w:val="single"/>
        </w:rPr>
        <w:t xml:space="preserve">(11) "Co-occurring disorder specialist" means an individual possessing an enhancement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(12) "Agency" means (a) a community behavioral health agency or facility operated, licensed, or certified by the state of Washington; (b) a federally recognized Indian tribe located within the state; (c) a county; (d) a federally qualified health center; or (e) a hospital.</w:t>
      </w:r>
    </w:p>
    <w:p>
      <w:pPr>
        <w:spacing w:before="0" w:after="0" w:line="408" w:lineRule="exact"/>
        <w:ind w:left="0" w:right="0" w:firstLine="576"/>
        <w:jc w:val="left"/>
      </w:pPr>
      <w:r>
        <w:rPr>
          <w:u w:val="single"/>
        </w:rPr>
        <w:t xml:space="preserve">(13)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100</w:t>
      </w:r>
      <w:r>
        <w:rPr/>
        <w:t xml:space="preserve"> and 2000 c 171 s 42 are each amended to read as follows:</w:t>
      </w:r>
    </w:p>
    <w:p>
      <w:pPr>
        <w:spacing w:before="0" w:after="0" w:line="408" w:lineRule="exact"/>
        <w:ind w:left="0" w:right="0" w:firstLine="576"/>
        <w:jc w:val="left"/>
      </w:pPr>
      <w:r>
        <w:rPr/>
        <w:t xml:space="preserve">The secretary may establish by rule the standards and procedures for approval of educational programs and alternative training. </w:t>
      </w:r>
      <w:r>
        <w:rPr>
          <w:u w:val="single"/>
        </w:rPr>
        <w:t xml:space="preserve">The requirements for who may provide approved supervision towards training must be the same for all applicants in the regular or alternative training pathways. The requirements for who may provide approved supervision towards training must allow approved supervision to be provided by a person who meets or exceeds the requirements of a certified substance use disorder professional in the state of Washington and who would be eligible to take the examination required for certification.</w:t>
      </w:r>
      <w:r>
        <w:rPr/>
        <w:t xml:space="preserve"> The secretary may utilize or contract with individuals or organizations having expertise in the profession or in education to assist in the evaluations. The secretary shall establish by rule the standards and procedures for revocation of approval of educational programs. The standards and procedures set shall apply equally to educational programs and training in the United States and in foreign jurisdictions. The secretary may establish a fee for educational program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co-occurring disorder specialist,</w:t>
      </w:r>
      <w:r>
        <w:rPr/>
        <w:t xml:space="preserve">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w:t>
      </w:r>
      <w:r>
        <w:rPr>
          <w:u w:val="single"/>
        </w:rPr>
        <w:t xml:space="preserve">co-occurring disorder specialist,</w:t>
      </w:r>
      <w:r>
        <w:rPr/>
        <w:t xml:space="preserve">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w:t>
      </w:r>
      <w:r>
        <w:t>((</w:t>
      </w:r>
      <w:r>
        <w:rPr>
          <w:strike/>
        </w:rPr>
        <w:t xml:space="preserve">and chemical dependency</w:t>
      </w:r>
      <w:r>
        <w:t>))</w:t>
      </w:r>
      <w:r>
        <w:rPr>
          <w:u w:val="single"/>
        </w:rPr>
        <w:t xml:space="preserve">, substance use disorder</w:t>
      </w:r>
      <w:r>
        <w:rPr/>
        <w:t xml:space="preserve"> professional trainees</w:t>
      </w:r>
      <w:r>
        <w:rPr>
          <w:u w:val="single"/>
        </w:rPr>
        <w:t xml:space="preserve">, or co-occurring disorder specialists</w:t>
      </w:r>
      <w:r>
        <w:rPr/>
        <w:t xml:space="preserve">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(59)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w:t>
      </w:r>
    </w:p>
    <w:p>
      <w:pPr>
        <w:spacing w:before="0" w:after="0" w:line="408" w:lineRule="exact"/>
        <w:ind w:left="0" w:right="0" w:firstLine="576"/>
        <w:jc w:val="left"/>
      </w:pPr>
      <w:r>
        <w:rPr/>
        <w:t xml:space="preserve">(a)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(39)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certification under this chapter for a position as a substance use disorder professional or substance use disorder professional trainee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23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 and</w:t>
      </w:r>
    </w:p>
    <w:p>
      <w:pPr>
        <w:spacing w:before="0" w:after="0" w:line="408" w:lineRule="exact"/>
        <w:ind w:left="0" w:right="0" w:firstLine="576"/>
        <w:jc w:val="left"/>
      </w:pPr>
      <w:r>
        <w:rPr/>
        <w:t xml:space="preserve">(d) Payment of any fees that may be established by the department.</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may only provide substance use disorder counseling services if the co-occurring disorder specialist is employed by:</w:t>
      </w:r>
    </w:p>
    <w:p>
      <w:pPr>
        <w:spacing w:before="0" w:after="0" w:line="408" w:lineRule="exact"/>
        <w:ind w:left="0" w:right="0" w:firstLine="576"/>
        <w:jc w:val="left"/>
      </w:pPr>
      <w:r>
        <w:rPr/>
        <w:t xml:space="preserve">(i) An agency that provides counseling services;</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w:t>
      </w:r>
    </w:p>
    <w:p>
      <w:pPr>
        <w:spacing w:before="0" w:after="0" w:line="408" w:lineRule="exact"/>
        <w:ind w:left="0" w:right="0" w:firstLine="576"/>
        <w:jc w:val="left"/>
      </w:pPr>
      <w:r>
        <w:rPr/>
        <w:t xml:space="preserve">(b) Following an initial intake or assessment, a co-occurring disorder specialist may provide substance use disorder treatment only to clients diagnosed with a substance use disorder and a mental health disorder;</w:t>
      </w:r>
    </w:p>
    <w:p>
      <w:pPr>
        <w:spacing w:before="0" w:after="0" w:line="408" w:lineRule="exact"/>
        <w:ind w:left="0" w:right="0" w:firstLine="576"/>
        <w:jc w:val="left"/>
      </w:pPr>
      <w:r>
        <w:rPr/>
        <w:t xml:space="preserve">(c) Prior to providing substance use disorder treatment to a client assessed to be in need of 2.1 or higher level of care according to American society of addiction medicine criteria, a co-occurring disorder specialist must make a reasonable effort to refer and connect the client to the appropriate care setting, as indicated by the client's American society of addiction medicine level of care; and</w:t>
      </w:r>
    </w:p>
    <w:p>
      <w:pPr>
        <w:spacing w:before="0" w:after="0" w:line="408" w:lineRule="exact"/>
        <w:ind w:left="0" w:right="0" w:firstLine="576"/>
        <w:jc w:val="left"/>
      </w:pPr>
      <w:r>
        <w:rPr/>
        <w:t xml:space="preserve">(d) A co-occurring disorder specialist must comply with rules promulgated by the department under subsection (11) of this section.</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0" w:after="0" w:line="408" w:lineRule="exact"/>
        <w:ind w:left="0" w:right="0" w:firstLine="576"/>
        <w:jc w:val="left"/>
      </w:pPr>
      <w:r>
        <w:rPr/>
        <w:t xml:space="preserve">(10) The department may adopt a fee to defray the cost of regulatory activities related to the issuance of co-occurring disorder specialist enhancements and any related disciplinary activities.</w:t>
      </w:r>
    </w:p>
    <w:p>
      <w:pPr>
        <w:spacing w:before="0" w:after="0" w:line="408" w:lineRule="exact"/>
        <w:ind w:left="0" w:right="0" w:firstLine="576"/>
        <w:jc w:val="left"/>
      </w:pPr>
      <w:r>
        <w:rPr/>
        <w:t xml:space="preserve">(11) The department shall adopt rules regarding the role of co-occurring disorder specialists across the American society of addiction medicine continuum of care.</w:t>
      </w:r>
    </w:p>
    <w:p>
      <w:pPr>
        <w:spacing w:before="0" w:after="0" w:line="408" w:lineRule="exact"/>
        <w:ind w:left="0" w:right="0" w:firstLine="576"/>
        <w:jc w:val="left"/>
      </w:pPr>
      <w:r>
        <w:rPr/>
        <w:t xml:space="preserve">(12) Any increase in fees necessary to cover the cost of regulating co-occurring disorder professionals who receive an enhancement under this section must be borne by persons licensed as psychologists under chapter 18.83 RCW, independent clinical social workers under chapter 18.225 RCW, marriage and family therapists under chapter 18.225 RCW, or mental health counselors under chapter 18.225 RCW. The cost of regulating co-occurring disorder specialists who receive an enhancement under this section may not be borne by substance use disorder professionals or substance use disorder professional trainees certified under this chapter and may not be included in the calculation of fees for substance use disorder professionals or substance use disorder professional trainees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25 of this act. The contracted educational program shall offer the training at a reduced cost to health care providers identified in section 25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substance use disorder professional certification pursuant to RCW 18.205.090 or a co-occurring disorder specialist enhancement under section 25 of this act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section 25 of this act.</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amend its rules, including WAC 246-341-0515, to allow persons with a co-occurring disorder specialist enhancement under chapter 18.205 RCW to provide substance use disorder counseling services that are equal in scope with the scope and practice of a substance use disorder professional under chapter 18.205 RCW, subject to the practice limitations under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in collaboration with the behavioral health institute at the University of Washington, the research and data analysis division at the department of social and health services, and the division of behavioral health and recovery at the health care authority, must conduct a review and analysis regarding the effects of the co-occurring disorder specialist enhancement created by this act on increasing the number of providers qualified to provide substance use disorder services and improving outcomes for persons with a substance use disorder.</w:t>
      </w:r>
    </w:p>
    <w:p>
      <w:pPr>
        <w:spacing w:before="0" w:after="0" w:line="408" w:lineRule="exact"/>
        <w:ind w:left="0" w:right="0" w:firstLine="576"/>
        <w:jc w:val="left"/>
      </w:pPr>
      <w:r>
        <w:rPr/>
        <w:t xml:space="preserve">(2) The review and analysis shall assess:</w:t>
      </w:r>
    </w:p>
    <w:p>
      <w:pPr>
        <w:spacing w:before="0" w:after="0" w:line="408" w:lineRule="exact"/>
        <w:ind w:left="0" w:right="0" w:firstLine="576"/>
        <w:jc w:val="left"/>
      </w:pPr>
      <w:r>
        <w:rPr/>
        <w:t xml:space="preserve">(a) The effects of the availability of the co-occurring disorder specialist enhancement on:</w:t>
      </w:r>
    </w:p>
    <w:p>
      <w:pPr>
        <w:spacing w:before="0" w:after="0" w:line="408" w:lineRule="exact"/>
        <w:ind w:left="0" w:right="0" w:firstLine="576"/>
        <w:jc w:val="left"/>
      </w:pPr>
      <w:r>
        <w:rPr/>
        <w:t xml:space="preserve">(i) Increasing the number of providers qualified to provide substance use disorder services; and</w:t>
      </w:r>
    </w:p>
    <w:p>
      <w:pPr>
        <w:spacing w:before="0" w:after="0" w:line="408" w:lineRule="exact"/>
        <w:ind w:left="0" w:right="0" w:firstLine="576"/>
        <w:jc w:val="left"/>
      </w:pPr>
      <w:r>
        <w:rPr/>
        <w:t xml:space="preserve">(ii) Improving outcomes for persons with a substance use disorder;</w:t>
      </w:r>
    </w:p>
    <w:p>
      <w:pPr>
        <w:spacing w:before="0" w:after="0" w:line="408" w:lineRule="exact"/>
        <w:ind w:left="0" w:right="0" w:firstLine="576"/>
        <w:jc w:val="left"/>
      </w:pPr>
      <w:r>
        <w:rPr/>
        <w:t xml:space="preserve">(b) The number of co-occurring disorder specialist enhancements that have been issued;</w:t>
      </w:r>
    </w:p>
    <w:p>
      <w:pPr>
        <w:spacing w:before="0" w:after="0" w:line="408" w:lineRule="exact"/>
        <w:ind w:left="0" w:right="0" w:firstLine="576"/>
        <w:jc w:val="left"/>
      </w:pPr>
      <w:r>
        <w:rPr/>
        <w:t xml:space="preserve">(c) The settings in which co-occurring disorder specialists are working;</w:t>
      </w:r>
    </w:p>
    <w:p>
      <w:pPr>
        <w:spacing w:before="0" w:after="0" w:line="408" w:lineRule="exact"/>
        <w:ind w:left="0" w:right="0" w:firstLine="576"/>
        <w:jc w:val="left"/>
      </w:pPr>
      <w:r>
        <w:rPr/>
        <w:t xml:space="preserve">(d) The geographic distribution of co-occurring disorder specialists;</w:t>
      </w:r>
    </w:p>
    <w:p>
      <w:pPr>
        <w:spacing w:before="0" w:after="0" w:line="408" w:lineRule="exact"/>
        <w:ind w:left="0" w:right="0" w:firstLine="576"/>
        <w:jc w:val="left"/>
      </w:pPr>
      <w:r>
        <w:rPr/>
        <w:t xml:space="preserve">(e) Any change in the number of certified substance use disorder professionals and substance use disorder professional trainees;</w:t>
      </w:r>
    </w:p>
    <w:p>
      <w:pPr>
        <w:spacing w:before="0" w:after="0" w:line="408" w:lineRule="exact"/>
        <w:ind w:left="0" w:right="0" w:firstLine="576"/>
        <w:jc w:val="left"/>
      </w:pPr>
      <w:r>
        <w:rPr/>
        <w:t xml:space="preserve">(f) Any change in the number of people receiving treatment at the appropriate level of care, including:</w:t>
      </w:r>
    </w:p>
    <w:p>
      <w:pPr>
        <w:spacing w:before="0" w:after="0" w:line="408" w:lineRule="exact"/>
        <w:ind w:left="0" w:right="0" w:firstLine="576"/>
        <w:jc w:val="left"/>
      </w:pPr>
      <w:r>
        <w:rPr/>
        <w:t xml:space="preserve">(i) The number of American society of addiction medicine assessments made by co-occurring disorder specialists;</w:t>
      </w:r>
    </w:p>
    <w:p>
      <w:pPr>
        <w:spacing w:before="0" w:after="0" w:line="408" w:lineRule="exact"/>
        <w:ind w:left="0" w:right="0" w:firstLine="576"/>
        <w:jc w:val="left"/>
      </w:pPr>
      <w:r>
        <w:rPr/>
        <w:t xml:space="preserve">(ii) The assessed level of care for clients according to American society of addiction medicine criteria;</w:t>
      </w:r>
    </w:p>
    <w:p>
      <w:pPr>
        <w:spacing w:before="0" w:after="0" w:line="408" w:lineRule="exact"/>
        <w:ind w:left="0" w:right="0" w:firstLine="576"/>
        <w:jc w:val="left"/>
      </w:pPr>
      <w:r>
        <w:rPr/>
        <w:t xml:space="preserve">(iii) Co-occurring mental health diagnoses for clients receiving services from a co-occurring disorder specialist;</w:t>
      </w:r>
    </w:p>
    <w:p>
      <w:pPr>
        <w:spacing w:before="0" w:after="0" w:line="408" w:lineRule="exact"/>
        <w:ind w:left="0" w:right="0" w:firstLine="576"/>
        <w:jc w:val="left"/>
      </w:pPr>
      <w:r>
        <w:rPr/>
        <w:t xml:space="preserve">(iv) The number of referrals made by co-occurring disorder specialists, by American society of addiction medicine level; and</w:t>
      </w:r>
    </w:p>
    <w:p>
      <w:pPr>
        <w:spacing w:before="0" w:after="0" w:line="408" w:lineRule="exact"/>
        <w:ind w:left="0" w:right="0" w:firstLine="576"/>
        <w:jc w:val="left"/>
      </w:pPr>
      <w:r>
        <w:rPr/>
        <w:t xml:space="preserve">(v) The number of successful placements made by co-occurring disorder specialists; and</w:t>
      </w:r>
    </w:p>
    <w:p>
      <w:pPr>
        <w:spacing w:before="0" w:after="0" w:line="408" w:lineRule="exact"/>
        <w:ind w:left="0" w:right="0" w:firstLine="576"/>
        <w:jc w:val="left"/>
      </w:pPr>
      <w:r>
        <w:rPr/>
        <w:t xml:space="preserve">(g) Any other factors relevant to assessing the effects of the availability of the co-occurring disorder specialist enhancement on the behavioral health workforce and the provision of appropriate services to clients.</w:t>
      </w:r>
    </w:p>
    <w:p>
      <w:pPr>
        <w:spacing w:before="0" w:after="0" w:line="408" w:lineRule="exact"/>
        <w:ind w:left="0" w:right="0" w:firstLine="576"/>
        <w:jc w:val="left"/>
      </w:pPr>
      <w:r>
        <w:rPr/>
        <w:t xml:space="preserve">(3) The agencies listed in subsection (1) of this section must develop the tools necessary to conduct the review and analysis required by this section.</w:t>
      </w:r>
    </w:p>
    <w:p>
      <w:pPr>
        <w:spacing w:before="0" w:after="0" w:line="408" w:lineRule="exact"/>
        <w:ind w:left="0" w:right="0" w:firstLine="576"/>
        <w:jc w:val="left"/>
      </w:pPr>
      <w:r>
        <w:rPr/>
        <w:t xml:space="preserve">(4) By December 1, 2022, the department shall submit a preliminary report of the findings of its review and analysis and any recommendations for improving the qualifications for an enhancement or the practice of those who have been issued an enhancement, and a final report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need for creation of a bachelor's level behavioral health professional credential that includes competencies related to the treatment of both substance use and mental health disorders appropriate to the bachelor's level of education, allows for reimbursement of services in all appropriate settings where persons with behavioral health disorders are treated, and is designed to facilitate work in conjunction with master's level clinicians in a fashion that enables all professionals to work at the top of their scope of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13 of this act takes effect August 1, 2020.</w:t>
      </w:r>
    </w:p>
    <w:p>
      <w:pPr>
        <w:spacing w:before="0" w:after="0" w:line="408" w:lineRule="exact"/>
        <w:ind w:left="0" w:right="0" w:firstLine="576"/>
        <w:jc w:val="left"/>
      </w:pPr>
      <w:r>
        <w:rPr/>
        <w:t xml:space="preserve">(2)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expires August 1, 2020.</w:t>
      </w:r>
    </w:p>
    <w:p>
      <w:pPr>
        <w:spacing w:before="0" w:after="0" w:line="408" w:lineRule="exact"/>
        <w:ind w:left="0" w:right="0" w:firstLine="576"/>
        <w:jc w:val="left"/>
      </w:pPr>
      <w:r>
        <w:rPr/>
        <w:t xml:space="preserve">(2) Section 18 of this act expires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789c1bede6484e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b24f980d13425c" /><Relationship Type="http://schemas.openxmlformats.org/officeDocument/2006/relationships/footer" Target="/word/footer1.xml" Id="R789c1bede6484e81" /></Relationships>
</file>