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e41b97b1448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2097</w:t>
      </w:r>
    </w:p>
    <w:p>
      <w:pPr>
        <w:jc w:val="center"/>
        <w:spacing w:before="480" w:after="0" w:line="240"/>
      </w:pPr>
      <w:r>
        <w:t xml:space="preserve">Chapter </w:t>
      </w:r>
      <w:r>
        <w:rPr/>
        <w:t xml:space="preserve">450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GRAY WOLF RECOVERY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Chapman, Springer, Blake, Pettigrew, Dent, Schmick, Dye, Maycumber, Wilcox, and Corry)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statewide wolf recovery; amending RCW 16.76.020; adding a new section to chapter 77.12 RCW; adding a new section to chapter 77.36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implement conflict mitigation guidelines that distinguish between wolf recovery regions, identified in the 2011 wolf conservation and management plan, that are at or above the regional recovery objective and wolf recovery regions that are below the regional recovery objective. In developing conflict management guidelines, the department shall consider the provisions of its 2011 wolf recovery and management plan, and all regional plans must include proactive nonlethal deterrents regardless of listing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maintain sufficient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Pr>
        <w:spacing w:before="0" w:after="0" w:line="408" w:lineRule="exact"/>
        <w:ind w:left="0" w:right="0" w:firstLine="576"/>
        <w:jc w:val="left"/>
      </w:pPr>
      <w:r>
        <w:rPr>
          <w:u w:val="single"/>
        </w:rPr>
        <w:t xml:space="preserve">(4) To ensure accountability and efficient use of funds between agencies involved in wolf-livestock management, the department must maintain a list of grants awarded under this section and at least annually share the list with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e18731967c1342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c7c5f87874b51" /><Relationship Type="http://schemas.openxmlformats.org/officeDocument/2006/relationships/footer" Target="/word/footer1.xml" Id="Re18731967c13422c" /></Relationships>
</file>