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dd61e697bb4a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2619</w:t>
      </w:r>
    </w:p>
    <w:p>
      <w:pPr>
        <w:jc w:val="center"/>
        <w:spacing w:before="480" w:after="0" w:line="240"/>
      </w:pPr>
      <w:r>
        <w:t xml:space="preserve">Chapter </w:t>
      </w:r>
      <w:r>
        <w:rPr/>
        <w:t xml:space="preserve">343</w:t>
      </w:r>
      <w:r>
        <w:t xml:space="preserve">, Laws of 2020</w:t>
      </w:r>
    </w:p>
    <w:p>
      <w:pPr>
        <w:jc w:val="center"/>
        <w:spacing w:before="240" w:after="0" w:line="240"/>
      </w:pPr>
      <w:r>
        <w:rPr/>
        <w:t xml:space="preserve">(partial veto)</w:t>
      </w:r>
    </w:p>
    <w:p>
      <w:pPr>
        <w:jc w:val="center"/>
        <w:spacing w:before="360" w:after="0" w:line="240"/>
      </w:pPr>
      <w:r>
        <w:t>66th Legislature</w:t>
      </w:r>
    </w:p>
    <w:p>
      <w:pPr>
        <w:jc w:val="center"/>
      </w:pPr>
      <w:r>
        <w:t>2020 Regular Session</w:t>
      </w:r>
    </w:p>
    <w:p>
      <w:pPr>
        <w:jc w:val="center"/>
        <w:spacing w:before="480" w:after="0" w:line="240"/>
      </w:pPr>
      <w:r>
        <w:rPr/>
        <w:t xml:space="preserve">EARLY LEARNING--VARIOUS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1:52 PM with the exception of section 4,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2619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Shewmake, Chapman, Ramel, Springer, Van Werven, Senn, Doglio, Goodman, and Tharinger</w:t>
      </w:r>
    </w:p>
    <w:p/>
    <w:p>
      <w:r>
        <w:rPr>
          <w:t xml:space="preserve">Read first time 01/16/20.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early learning access through licensing, eligibility, and rate improvements; amending RCW 43.216.514 and 43.216.305; adding a new section to chapter 43.216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rural child care access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rural communities face child care and early learning supply shortages due to factors that include geographic isolation and fewer providers. These shortages contribute to economic challenges in the child care market, undermining child care affordability for families and threatening the viability of child care businesses. Families deserve access to a full range of child care and early learning choices and providers need stable funding that is essential to meet high quality standards.</w:t>
      </w:r>
    </w:p>
    <w:p>
      <w:pPr>
        <w:spacing w:before="0" w:after="0" w:line="408" w:lineRule="exact"/>
        <w:ind w:left="0" w:right="0" w:firstLine="576"/>
        <w:jc w:val="left"/>
      </w:pPr>
      <w:r>
        <w:rPr/>
        <w:t xml:space="preserve">(2)</w:t>
      </w:r>
      <w:r>
        <w:rPr>
          <w:b/>
        </w:rPr>
        <w:t xml:space="preserve"> </w:t>
      </w:r>
      <w:r>
        <w:rPr/>
        <w:t xml:space="preserve">The legislature further finds that while federal child care and development fund rules allow child care subsidy rates to exceed private pay rates in order to pay for quality care and health and safety requirements, state rules require child care subsidy rates to be lower than a provider's private pay rate with limited exceptions. This limitation has the effect of forcing child care providers to raise private pay rates when state subsidy rates go up, resulting in families who do not qualify for subsidy leaving licensed care because it has become unaffordable.</w:t>
      </w:r>
    </w:p>
    <w:p>
      <w:pPr>
        <w:spacing w:before="0" w:after="0" w:line="408" w:lineRule="exact"/>
        <w:ind w:left="0" w:right="0" w:firstLine="576"/>
        <w:jc w:val="left"/>
      </w:pPr>
      <w:r>
        <w:rPr/>
        <w:t xml:space="preserve">(3) Therefore, it is the intent of the legislature to implement policies to relieve providers and families by streamlining child care access, balancing subsidy requirements, and supporting the needs of rural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2019 c 408 s 7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u w:val="single"/>
        </w:rPr>
        <w:t xml:space="preserve">(b) A child who is eligible at the time of enrollment in the early childhood education and assistance program maintains program eligibility until the child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Priority within this group must be given first to children with incomes up to one hundred thirty percent of the federal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may pay child day care centers and family day care providers a subsidy rate that is equal to or higher than the provider's private pay rate in order to support high quality care and the implementation of health, safety, and quality requirements.</w:t>
      </w:r>
    </w:p>
    <w:p>
      <w:pPr>
        <w:spacing w:before="0" w:after="0" w:line="408" w:lineRule="exact"/>
        <w:ind w:left="0" w:right="0" w:firstLine="576"/>
        <w:jc w:val="left"/>
      </w:pPr>
      <w:r>
        <w:rPr/>
        <w:t xml:space="preserve">(2) The department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2018 c 58 s 40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on forms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43.216.315.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w:t>
      </w:r>
      <w:r>
        <w:rPr>
          <w:u w:val="single"/>
        </w:rPr>
        <w:t xml:space="preserve">and may be transferred to a new licensee in the event of a transfer of ownership of a child care operation</w:t>
      </w:r>
      <w:r>
        <w:rPr/>
        <w:t xml:space="preserve">. The licensee, however, shall advise the secretary of any material change in circumstances which might constitute grounds for reclassification of license as to category. The license issued under this chapter </w:t>
      </w:r>
      <w:r>
        <w:t>((</w:t>
      </w:r>
      <w:r>
        <w:rPr>
          <w:strike/>
        </w:rPr>
        <w:t xml:space="preserve">is not transferable and</w:t>
      </w:r>
      <w:r>
        <w:t>))</w:t>
      </w:r>
      <w:r>
        <w:rPr/>
        <w:t xml:space="preserve">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Submit the annual licensing fee;</w:t>
      </w:r>
    </w:p>
    <w:p>
      <w:pPr>
        <w:spacing w:before="0" w:after="0" w:line="408" w:lineRule="exact"/>
        <w:ind w:left="0" w:right="0" w:firstLine="576"/>
        <w:jc w:val="left"/>
      </w:pPr>
      <w:r>
        <w:rPr/>
        <w:t xml:space="preserve">(b)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rPr/>
        <w:t xml:space="preserve">(c) Submit a declaration of compliance with all licensing rules; and</w:t>
      </w:r>
    </w:p>
    <w:p>
      <w:pPr>
        <w:spacing w:before="0" w:after="0" w:line="408" w:lineRule="exact"/>
        <w:ind w:left="0" w:right="0" w:firstLine="576"/>
        <w:jc w:val="left"/>
      </w:pPr>
      <w:r>
        <w:rPr/>
        <w:t xml:space="preserve">(d) Submit background check applications on the schedule established by the department.</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43.216.320.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2020, the department of children, youth, and families must provide the appropriate committees of the legislature with a list of recommended child care licensing innovations designed to improve access to care in rural areas of the state. The recommendations must include estimated costs for each item and any statutory changes necessary for implementation.</w:t>
      </w:r>
    </w:p>
    <w:p>
      <w:pPr>
        <w:spacing w:before="0" w:after="0" w:line="408" w:lineRule="exact"/>
        <w:ind w:left="0" w:right="0" w:firstLine="576"/>
        <w:jc w:val="left"/>
      </w:pPr>
      <w:r>
        <w:rPr/>
        <w:t xml:space="preserve">(2) This section expires November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establish a pilot project to create a dual license that allows individuals to receive a combined foster care and child care license. The pilot project must commence by July 1, 2020, and conclude by June 30, 2022.</w:t>
      </w:r>
    </w:p>
    <w:p>
      <w:pPr>
        <w:spacing w:before="0" w:after="0" w:line="408" w:lineRule="exact"/>
        <w:ind w:left="0" w:right="0" w:firstLine="576"/>
        <w:jc w:val="left"/>
      </w:pPr>
      <w:r>
        <w:rPr/>
        <w:t xml:space="preserve">(2) The department must consult with stakeholders in the foster care and child care sectors during the design and implementation of the pilot project.</w:t>
      </w:r>
    </w:p>
    <w:p>
      <w:pPr>
        <w:spacing w:before="0" w:after="0" w:line="408" w:lineRule="exact"/>
        <w:ind w:left="0" w:right="0" w:firstLine="576"/>
        <w:jc w:val="left"/>
      </w:pPr>
      <w:r>
        <w:rPr/>
        <w:t xml:space="preserve">(3) The department may adopt rules to implement the pilot project and may waive or adapt licensing requirements when necessary to allow for the implementation of a dual license for individuals.</w:t>
      </w:r>
    </w:p>
    <w:p>
      <w:pPr>
        <w:spacing w:before="0" w:after="0" w:line="408" w:lineRule="exact"/>
        <w:ind w:left="0" w:right="0" w:firstLine="576"/>
        <w:jc w:val="left"/>
      </w:pPr>
      <w:r>
        <w:rPr/>
        <w:t xml:space="preserve">(4) The department must provide a brief status report to the appropriate committees of the legislature and the governor by July 1, 2021, describing implementation of the pilot project. By November 1, 2022, the department must recommend to the governor and the appropriate committees of the legislature whether the dual license pilot project should be made permanent.</w:t>
      </w:r>
    </w:p>
    <w:p>
      <w:pPr>
        <w:spacing w:before="0" w:after="0" w:line="408" w:lineRule="exact"/>
        <w:ind w:left="0" w:right="0" w:firstLine="576"/>
        <w:jc w:val="left"/>
      </w:pPr>
      <w:r>
        <w:rPr/>
        <w:t xml:space="preserve">(5) This section expires November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April 3, 2020, with the exception of certain items that were vetoed.</w:t>
      </w:r>
    </w:p>
    <w:p>
      <w:pPr>
        <w:spacing w:before="0" w:after="0" w:line="408" w:lineRule="exact"/>
        <w:ind w:left="0" w:right="0" w:firstLine="576"/>
        <w:jc w:val="left"/>
      </w:pPr>
      <w:r>
        <w:rPr/>
        <w:t xml:space="preserve">Filed in Office of Secretary of State April 3, 2020.</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4, House Bill No. 2619 entitled:</w:t>
      </w:r>
    </w:p>
    <w:p>
      <w:pPr>
        <w:spacing w:before="120" w:after="0" w:line="408" w:lineRule="exact"/>
        <w:ind w:left="0" w:right="0" w:firstLine="576"/>
        <w:jc w:val="left"/>
      </w:pPr>
      <w:r>
        <w:rPr/>
        <w:t xml:space="preserve">"AN ACT Relating to increasing early learning access through licensing, eligibility, and rate improvements."</w:t>
      </w:r>
    </w:p>
    <w:p>
      <w:pPr>
        <w:spacing w:before="120" w:after="0" w:line="408" w:lineRule="exact"/>
        <w:ind w:left="0" w:right="0" w:firstLine="0"/>
        <w:jc w:val="left"/>
      </w:pPr>
      <w:r>
        <w:rPr/>
        <w:t xml:space="preserve">Section 4 allows the department to pay a subsidy rate equal to or higher than what providers bill for private pay. Although I believe that quality child care comes at a cost, I have concerns with utilizing tax-payer dollars to pay child care providers more than the market rate. I also believe subsidy payments over the market rate could have the unintended consequence of driving up private pay standards.</w:t>
      </w:r>
    </w:p>
    <w:p>
      <w:pPr>
        <w:spacing w:before="120" w:after="0" w:line="408" w:lineRule="exact"/>
        <w:ind w:left="0" w:right="0" w:firstLine="0"/>
        <w:jc w:val="left"/>
      </w:pPr>
      <w:r>
        <w:rPr/>
        <w:t xml:space="preserve">For these reasons I have vetoed Section 4 of House Bill No. 2619.</w:t>
      </w:r>
    </w:p>
    <w:p>
      <w:pPr>
        <w:spacing w:before="120" w:after="0" w:line="408" w:lineRule="exact"/>
        <w:ind w:left="0" w:right="0" w:firstLine="0"/>
        <w:jc w:val="left"/>
      </w:pPr>
      <w:r>
        <w:rPr/>
        <w:t xml:space="preserve">With the exception of Section 4, House Bill No. 2619 is approved."</w:t>
      </w:r>
    </w:p>
    <w:sectPr>
      <w:pgNumType w:start="1"/>
      <w:footerReference xmlns:r="http://schemas.openxmlformats.org/officeDocument/2006/relationships" r:id="R5d2f3c842a6a4cc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64dc20ccb64ebc" /><Relationship Type="http://schemas.openxmlformats.org/officeDocument/2006/relationships/footer" Target="/word/footer1.xml" Id="R5d2f3c842a6a4ccb" /></Relationships>
</file>