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6b553e2f446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2819</w:t>
      </w:r>
    </w:p>
    <w:p>
      <w:pPr>
        <w:jc w:val="center"/>
        <w:spacing w:before="480" w:after="0" w:line="240"/>
      </w:pPr>
      <w:r>
        <w:t xml:space="preserve">Chapter </w:t>
      </w:r>
      <w:r>
        <w:rPr/>
        <w:t xml:space="preserve">46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CERTAIN PUMPED STORAGE PROJECTS--STATEWIDE SIGNIFICANCE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43</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2819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Mosbrucker, Blake, Chandler, Hoff, Fitzgibbon, Dent, Shewmake, and Boehnke</w:t>
      </w:r>
    </w:p>
    <w:p/>
    <w:p>
      <w:r>
        <w:rPr>
          <w:t xml:space="preserve">Read first time 01/23/20.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pumped storage projects located in a county bordering the Columbia river utilizing statutorily authorized water rights to be projects of statewide significance; amending RCW 43.157.010 and 43.157.020;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 national leader in the transition to one hundred percent clean electricity, resulting in substantial reductions in the emissions of greenhouse gases. In 2012, the legislature authorized certain water rights to be used to enable a pumped storage project, codified as RCW 54.16.410. As more variable renewable energy facilities come online to facilitate the transition to our clean energy future, additional renewable energy storage facilities may be used in place of greenhouse gas emitting generation to integrate variable renewable energy. Expediting beneficial use of those authorized water rights for a pumped storage project will enable investment of more than one billion dollars in, and provide economic development to, a rural county, and facilitate construction and operation of additional renewable energy throughout the state and the west. </w:t>
      </w:r>
    </w:p>
    <w:p>
      <w:pPr>
        <w:spacing w:before="0" w:after="0" w:line="408" w:lineRule="exact"/>
        <w:ind w:left="0" w:right="0" w:firstLine="576"/>
        <w:jc w:val="left"/>
      </w:pPr>
      <w:r>
        <w:rPr/>
        <w:t xml:space="preserve">(2) The legislature further finds that certain studies indicate a resource adequacy shortfall on the region's electric grid by 2025 and it is in the interest of the state to expedite pump storage projects that will address this shortfall.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pumped storage project using water rights approved by the legislature for that purpose;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of regulatory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w:t>
      </w:r>
      <w:r>
        <w:t>((</w:t>
      </w:r>
      <w:r>
        <w:rPr>
          <w:strike/>
        </w:rPr>
        <w:t xml:space="preserve">(2)</w:t>
      </w:r>
      <w:r>
        <w:t>))</w:t>
      </w:r>
      <w:r>
        <w:rPr/>
        <w:t xml:space="preserve"> </w:t>
      </w:r>
      <w:r>
        <w:rPr>
          <w:u w:val="single"/>
        </w:rPr>
        <w:t xml:space="preserve">(3)</w:t>
      </w:r>
      <w:r>
        <w:rPr/>
        <w:t xml:space="preserve">(b); </w:t>
      </w:r>
      <w:r>
        <w:t>((</w:t>
      </w:r>
      <w:r>
        <w:rPr>
          <w:strike/>
        </w:rPr>
        <w:t xml:space="preserve">and</w:t>
      </w:r>
      <w:r>
        <w:t>))</w:t>
      </w:r>
    </w:p>
    <w:p>
      <w:pPr>
        <w:spacing w:before="0" w:after="0" w:line="408" w:lineRule="exact"/>
        <w:ind w:left="0" w:right="0" w:firstLine="576"/>
        <w:jc w:val="left"/>
      </w:pPr>
      <w:r>
        <w:rPr/>
        <w:t xml:space="preserve">(5) </w:t>
      </w:r>
      <w:r>
        <w:rPr>
          <w:u w:val="single"/>
        </w:rPr>
        <w:t xml:space="preserve">A plan for consultation with affected tribes; and</w:t>
      </w:r>
    </w:p>
    <w:p>
      <w:pPr>
        <w:spacing w:before="0" w:after="0" w:line="408" w:lineRule="exact"/>
        <w:ind w:left="0" w:right="0" w:firstLine="576"/>
        <w:jc w:val="left"/>
      </w:pPr>
      <w:r>
        <w:rPr>
          <w:u w:val="single"/>
        </w:rPr>
        <w:t xml:space="preserve">(6)</w:t>
      </w:r>
      <w:r>
        <w:rPr/>
        <w:t xml:space="preserve"> Such other actions or items as are deemed necessary by the office of regulatory assistance for the design and construction of the project.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becb6159ed3d4b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72e54560314e8d" /><Relationship Type="http://schemas.openxmlformats.org/officeDocument/2006/relationships/footer" Target="/word/footer1.xml" Id="Rbecb6159ed3d4bfd" /></Relationships>
</file>