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768f98d3d41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2926</w:t>
      </w:r>
    </w:p>
    <w:p>
      <w:pPr>
        <w:jc w:val="center"/>
        <w:spacing w:before="480" w:after="0" w:line="240"/>
      </w:pPr>
      <w:r>
        <w:t xml:space="preserve">Chapter </w:t>
      </w:r>
      <w:r>
        <w:rPr/>
        <w:t xml:space="preserve">294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CRITICAL INCIDENT STRESS MANAGEMENT PROGRAMS--EXPANSION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2926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2926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Maycumber, Blake, Kretz, MacEwen, Van Werven, Mosbrucker, Graham, Hoff, Griffey, Stokesbary, Chambers, Ybarra, Dent, Barkis, Goehner, Chandler, Kraft, Goodman, Lovick, Ortiz-Self, Senn, Gildon, Sells, Boehnke, Davis, Smith, Dye, Orwall, Eslick, Shewmake, Pollet, Riccelli, and Harris</w:t>
      </w:r>
    </w:p>
    <w:p/>
    <w:p>
      <w:r>
        <w:rPr>
          <w:t xml:space="preserve">Read first time 02/04/20.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critical incident stress management programs; adding a new section to chapter 43.101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conduct outreach and coordinate with local law enforcement agencies, fire departments, and other first responder service providers for the purpose of expanding critical incident stress management programs to law enforcement personnel, firefighters, and other first responders statewide. The commission shall conduct an inventory of the current critical incident stress management programs in the state, including an assessment of underserved agencies and regions. The commission shall coordinate with law enforcement agencies, law enforcement organizations, community partners, fire departments, and other first response service organizations to provide greater access to critical incident stress management programs, including peer support group counselors under RCW 5.60.060, and may further assist agencies with establishing interagency and regional service agreements to facilitate expansion of these programs.</w:t>
      </w:r>
    </w:p>
    <w:p>
      <w:pPr>
        <w:spacing w:before="0" w:after="0" w:line="408" w:lineRule="exact"/>
        <w:ind w:left="0" w:right="0" w:firstLine="576"/>
        <w:jc w:val="left"/>
      </w:pPr>
      <w:r>
        <w:rPr/>
        <w:t xml:space="preserve">(2) The commission shall submit a preliminary report by July 1, 2021, and submit a final report, including a summary of the inventory and efforts to expand programs, by July 1, 2022, to the governor and the appropriate committees of the legislature.</w:t>
      </w:r>
    </w:p>
    <w:p>
      <w:pPr>
        <w:spacing w:before="0" w:after="0" w:line="408" w:lineRule="exact"/>
        <w:ind w:left="0" w:right="0" w:firstLine="576"/>
        <w:jc w:val="left"/>
      </w:pPr>
      <w:r>
        <w:rPr/>
        <w:t xml:space="preserve">(3) This section expires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e0b9c50f83ae408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3f5fdf2244ead" /><Relationship Type="http://schemas.openxmlformats.org/officeDocument/2006/relationships/footer" Target="/word/footer1.xml" Id="Re0b9c50f83ae408c" /></Relationships>
</file>