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1867e735d41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5054</w:t>
      </w:r>
    </w:p>
    <w:p>
      <w:pPr>
        <w:jc w:val="center"/>
        <w:spacing w:before="480" w:after="0" w:line="240"/>
      </w:pPr>
      <w:r>
        <w:t xml:space="preserve">Chapter </w:t>
      </w:r>
      <w:r>
        <w:rPr/>
        <w:t xml:space="preserve">351</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BEHAVIORAL HEALTH LICENSE AND CERTIFICATION RECIPROCITY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3:25 PM with the exception of sections 4, 5, and 6,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O'Ban, Brown, Conway, Wilson, L., Zeiger, Short, Van De Wege,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behavioral health workforce by establishing a reciprocity program to increase the portability of behavioral health licenses and certifications; amending RCW 18.83.170, 18.205.140, and 18.225.140; adding a new section to chapter 18.83 RCW; adding a new section to chapter 18.205 RCW; adding a new section to chapter 18.225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2004 c 262 s 12 are each amended to read as follows:</w:t>
      </w:r>
    </w:p>
    <w:p>
      <w:pPr>
        <w:spacing w:before="0" w:after="0" w:line="408" w:lineRule="exact"/>
        <w:ind w:left="0" w:right="0" w:firstLine="576"/>
        <w:jc w:val="left"/>
      </w:pPr>
      <w:r>
        <w:rPr>
          <w:u w:val="single"/>
        </w:rPr>
        <w:t xml:space="preserve">(1)</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(2)(a)(i) The department shall establish a reciprocity program for applicants for licensure as a psychologist in Washington.</w:t>
      </w:r>
    </w:p>
    <w:p>
      <w:pPr>
        <w:spacing w:before="0" w:after="0" w:line="408" w:lineRule="exact"/>
        <w:ind w:left="0" w:right="0" w:firstLine="576"/>
        <w:jc w:val="left"/>
      </w:pPr>
      <w:r>
        <w:rPr>
          <w:u w:val="single"/>
        </w:rPr>
        <w:t xml:space="preserve">(ii) The reciprocity program applies to applicants for a license as a psychologist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as a psychologist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1998 c 243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u w:val="single"/>
        </w:rPr>
        <w:t xml:space="preserve">(2)(a)(i) The department shall establish a reciprocity program for applicants for certification as a chemical dependency professional in Washington.</w:t>
      </w:r>
    </w:p>
    <w:p>
      <w:pPr>
        <w:spacing w:before="0" w:after="0" w:line="408" w:lineRule="exact"/>
        <w:ind w:left="0" w:right="0" w:firstLine="576"/>
        <w:jc w:val="left"/>
      </w:pPr>
      <w:r>
        <w:rPr>
          <w:u w:val="single"/>
        </w:rPr>
        <w:t xml:space="preserve">(ii) The reciprocity program applies to applicants for certification as a chemical dependency professional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certified chemical dependency professionals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A person who holds a probationary certificate may only practice as a chemical dependency professional in a licensed or certified service provider, as defined in RCW 71.24.025.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certified chemical dependency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chemical dependency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2001 c 251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u w:val="single"/>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u w:val="single"/>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in the relevant profession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certified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4, 5, and 6, Senate Bill No. 5054 entitled:</w:t>
      </w:r>
    </w:p>
    <w:p>
      <w:pPr>
        <w:spacing w:before="120" w:after="0" w:line="408" w:lineRule="exact"/>
        <w:ind w:left="0" w:right="0" w:firstLine="576"/>
        <w:jc w:val="left"/>
      </w:pPr>
      <w:r>
        <w:rPr/>
        <w:t xml:space="preserve">"AN ACT Relating to increasing the behavioral health workforce by establishing a reciprocity program to increase the portability of behavioral health licenses and certifications."</w:t>
      </w:r>
    </w:p>
    <w:p>
      <w:pPr>
        <w:spacing w:before="120" w:after="0" w:line="408" w:lineRule="exact"/>
        <w:ind w:left="0" w:right="0" w:firstLine="0"/>
        <w:jc w:val="left"/>
      </w:pPr>
      <w:r>
        <w:rPr/>
        <w:t xml:space="preserve">Senate Bill 5054 will help out-of-state applicants to more easily and quickly become integrated into Washington State's behavioral health workforce. Sections 4, 5 and 6 direct the Department of Health to conduct a study to explore options for adoption of an interstate compact or compacts supporting license portability for certain professionals. I agree with the intended purpose of the bill; however, the final budget did not provide funding for the Department to perform this study and the cost of this work cannot be absorbed.</w:t>
      </w:r>
    </w:p>
    <w:p>
      <w:pPr>
        <w:spacing w:before="120" w:after="0" w:line="408" w:lineRule="exact"/>
        <w:ind w:left="0" w:right="0" w:firstLine="0"/>
        <w:jc w:val="left"/>
      </w:pPr>
      <w:r>
        <w:rPr/>
        <w:t xml:space="preserve">For these reasons I have vetoed Sections 4, 5, and 6 of Senate Bill No. 5054.</w:t>
      </w:r>
    </w:p>
    <w:p>
      <w:pPr>
        <w:spacing w:before="120" w:after="0" w:line="408" w:lineRule="exact"/>
        <w:ind w:left="0" w:right="0" w:firstLine="0"/>
        <w:jc w:val="left"/>
      </w:pPr>
      <w:r>
        <w:rPr/>
        <w:t xml:space="preserve">With the exception of Sections 4, 5, and 6, Senate Bill No. 5054 is approved."</w:t>
      </w:r>
    </w:p>
    <w:sectPr>
      <w:pgNumType w:start="1"/>
      <w:footerReference xmlns:r="http://schemas.openxmlformats.org/officeDocument/2006/relationships" r:id="Refc62301246b49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cae4b8eb864202" /><Relationship Type="http://schemas.openxmlformats.org/officeDocument/2006/relationships/footer" Target="/word/footer1.xml" Id="Refc62301246b4980" /></Relationships>
</file>