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b64c0ccd442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5181</w:t>
      </w:r>
    </w:p>
    <w:p>
      <w:pPr>
        <w:jc w:val="center"/>
        <w:spacing w:before="480" w:after="0" w:line="240"/>
      </w:pPr>
      <w:r>
        <w:t xml:space="preserve">Chapter </w:t>
      </w:r>
      <w:r>
        <w:rPr/>
        <w:t xml:space="preserve">247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INVOLUNTARY TREATMENT ACT--FIREARMS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26</w:t>
            </w:r>
            <w:r>
              <w:t xml:space="preserve">  Nays </w:t>
              <w:t xml:space="preserve">21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55</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Kuderer, Saldaña, Pedersen, Wilson, C., Dhingra, Billig, Takko, McCoy, Hunt, Cleveland, Wellman, Darneille, Carlyle, Das, and Liias)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9.41.047; adding a new section to chapter 71.05 RCW;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w:t>
      </w:r>
      <w:r>
        <w:rPr>
          <w:u w:val="single"/>
        </w:rPr>
        <w:t xml:space="preserve">and (e)</w:t>
      </w:r>
      <w:r>
        <w:rPr/>
        <w:t xml:space="preserv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t>
      </w:r>
      <w:r>
        <w:rPr>
          <w:u w:val="single"/>
        </w:rPr>
        <w:t xml:space="preserve">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u w:val="single"/>
        </w:rPr>
        <w:t xml:space="preserve">(f)</w:t>
      </w:r>
      <w:r>
        <w:rPr/>
        <w:t xml:space="preserv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3d6ad906ada43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73b93a23e4727" /><Relationship Type="http://schemas.openxmlformats.org/officeDocument/2006/relationships/footer" Target="/word/footer1.xml" Id="R63d6ad906ada431f" /></Relationships>
</file>