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7a85ea92145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5337</w:t>
      </w:r>
    </w:p>
    <w:p>
      <w:pPr>
        <w:jc w:val="center"/>
        <w:spacing w:before="480" w:after="0" w:line="240"/>
      </w:pPr>
      <w:r>
        <w:t xml:space="preserve">Chapter </w:t>
      </w:r>
      <w:r>
        <w:rPr/>
        <w:t xml:space="preserve">188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SALES AND USE TAX EXEMPTION--POLITICAL SUBDIVISIONS--TRANSFER OF PERSONAL PROPERTY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sales and use tax exemption for personal property sold between political subdivisions to include sales or uses of personal property as a result of a merger or sales or uses of personal property made under contractual consolidations in which the taxpayer that originally paid the sales or use tax continues to benefit from the personal property; amending RCW 82.08.0278 and 82.12.0274;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0278</w:t>
      </w:r>
      <w:r>
        <w:rPr/>
        <w:t xml:space="preserve"> and 1980 c 37 s 44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(1) S</w:t>
      </w:r>
      <w:r>
        <w:rPr/>
        <w:t xml:space="preserve">ales to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Sales to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w:t>
      </w:r>
      <w:r>
        <w:rPr/>
        <w:t xml:space="preserve"> and 1980 c 37 s 72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w:t>
      </w:r>
      <w:r>
        <w:rPr>
          <w:u w:val="single"/>
        </w:rPr>
        <w:t xml:space="preserve">:</w:t>
      </w:r>
    </w:p>
    <w:p>
      <w:pPr>
        <w:spacing w:before="0" w:after="0" w:line="408" w:lineRule="exact"/>
        <w:ind w:left="0" w:right="0" w:firstLine="576"/>
        <w:jc w:val="left"/>
      </w:pPr>
      <w:r>
        <w:rPr>
          <w:u w:val="single"/>
        </w:rPr>
        <w:t xml:space="preserve">(1) T</w:t>
      </w:r>
      <w:r>
        <w:rPr/>
        <w:t xml:space="preserve">he use of the personal property of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The use of the personal property of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9960b1184ba944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ed790f4834fc4" /><Relationship Type="http://schemas.openxmlformats.org/officeDocument/2006/relationships/footer" Target="/word/footer1.xml" Id="R9960b1184ba94452" /></Relationships>
</file>