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b4e76cf7040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5581</w:t>
      </w:r>
    </w:p>
    <w:p>
      <w:pPr>
        <w:jc w:val="center"/>
        <w:spacing w:before="480" w:after="0" w:line="240"/>
      </w:pPr>
      <w:r>
        <w:t xml:space="preserve">Chapter </w:t>
      </w:r>
      <w:r>
        <w:rPr/>
        <w:t xml:space="preserve">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STATE TAX LAWS--NEXUS</w:t>
      </w:r>
    </w:p>
    <w:p>
      <w:pPr>
        <w:spacing w:before="720" w:after="240" w:line="240" w:lineRule="exact"/>
        <w:ind w:left="0" w:right="0" w:firstLine="576"/>
        <w:jc w:val="left"/>
      </w:pPr>
      <w:r>
        <w:t xml:space="preserve">EFFECTIVE DATE: </w:t>
      </w:r>
      <w:r>
        <w:rPr/>
        <w:t xml:space="preserve">March 14, 2019 - Except for sections 105, 301, 302, 401, and 704, which become effective July 1, 2019; and sections 102, 103, 107, and 701 through 703, which become effective 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37</w:t>
            </w:r>
            <w:r>
              <w:t xml:space="preserve">  Nays </w:t>
              <w:t xml:space="preserve">11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58</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2019 4:04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Braun, Carlyle, Keiser, and Saldaña; by request of Department of Revenue)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state tax laws by clarifying and simplifying nexus provisions, by decreasing compliance and administrative burdens for taxpayers and the department of revenue, by facilitating the collection of new tax revenue resulting from the United States supreme court's decision in South Dakota v. Wayfair, Inc., by providing more consistent tax obligations for both domestic and foreign sellers, and by simplifying the expiration of sales tax sourcing mitigation payments to local governments on September 30, 2019; amending RCW 82.04.067, 82.04.067, 82.04.220, 82.08.010, 82.08.052, 82.08.0531, 82.32.045, 82.08.0293, 82.32.020, 82.32.715, 82.32.762, 34.05.328, 82.04.610, 82.14.500, 34.05.010, 82.04.066, 82.04.43391, and 82.12.040; adding new sections to chapter 82.02 RCW; repealing RCW 82.08.053, 82.13.010, 82.13.020, 82.13.030, 82.13.040, 82.13.050, 82.32.047, 82.32.733, and 82.32.763; creating new sections;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w:t>
      </w:r>
      <w:r>
        <w:rPr>
          <w:u w:val="single"/>
        </w:rPr>
        <w:t xml:space="preserve">s 82.04 and</w:t>
      </w:r>
      <w:r>
        <w:rPr/>
        <w:t xml:space="preserve">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w:t>
      </w:r>
      <w:r>
        <w:t>((</w:t>
      </w:r>
      <w:r>
        <w:rPr>
          <w:strike/>
        </w:rPr>
        <w:t xml:space="preserve">shall</w:t>
      </w:r>
      <w:r>
        <w:t>))</w:t>
      </w:r>
      <w:r>
        <w:rPr/>
        <w:t xml:space="preserve"> </w:t>
      </w:r>
      <w:r>
        <w:rPr>
          <w:u w:val="single"/>
        </w:rPr>
        <w:t xml:space="preserve">may</w:t>
      </w:r>
      <w:r>
        <w:rPr/>
        <w:t xml:space="preserve">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w:t>
      </w:r>
      <w:r>
        <w:rPr>
          <w:u w:val="single"/>
        </w:rPr>
        <w:t xml:space="preserve">:</w:t>
      </w:r>
    </w:p>
    <w:p>
      <w:pPr>
        <w:spacing w:before="0" w:after="0" w:line="408" w:lineRule="exact"/>
        <w:ind w:left="0" w:right="0" w:firstLine="576"/>
        <w:jc w:val="left"/>
      </w:pPr>
      <w:r>
        <w:rPr>
          <w:u w:val="single"/>
        </w:rPr>
        <w:t xml:space="preserve">(a) T</w:t>
      </w:r>
      <w:r>
        <w:rPr/>
        <w:t xml:space="preserve">he sale of tangible personal property in </w:t>
      </w:r>
      <w:r>
        <w:t>((</w:t>
      </w:r>
      <w:r>
        <w:rPr>
          <w:strike/>
        </w:rPr>
        <w:t xml:space="preserve">import or</w:t>
      </w:r>
      <w:r>
        <w:t>))</w:t>
      </w:r>
      <w:r>
        <w:rPr/>
        <w:t xml:space="preserve"> export commerce</w:t>
      </w:r>
      <w:r>
        <w:rPr>
          <w:u w:val="single"/>
        </w:rPr>
        <w:t xml:space="preserve">; and</w:t>
      </w:r>
    </w:p>
    <w:p>
      <w:pPr>
        <w:spacing w:before="0" w:after="0" w:line="408" w:lineRule="exact"/>
        <w:ind w:left="0" w:right="0" w:firstLine="576"/>
        <w:jc w:val="left"/>
      </w:pPr>
      <w:r>
        <w:rPr>
          <w:u w:val="single"/>
        </w:rPr>
        <w:t xml:space="preserve">(b) The wholesale sale of tangible personal property in import commerce, but only when the wholesale sale is:</w:t>
      </w:r>
    </w:p>
    <w:p>
      <w:pPr>
        <w:spacing w:before="0" w:after="0" w:line="408" w:lineRule="exact"/>
        <w:ind w:left="0" w:right="0" w:firstLine="576"/>
        <w:jc w:val="left"/>
      </w:pPr>
      <w:r>
        <w:rPr>
          <w:u w:val="single"/>
        </w:rPr>
        <w:t xml:space="preserve">(i) A sale of unroasted coffee beans; or</w:t>
      </w:r>
    </w:p>
    <w:p>
      <w:pPr>
        <w:spacing w:before="0" w:after="0" w:line="408" w:lineRule="exact"/>
        <w:ind w:left="0" w:right="0" w:firstLine="576"/>
        <w:jc w:val="left"/>
      </w:pPr>
      <w:r>
        <w:rPr>
          <w:u w:val="single"/>
        </w:rPr>
        <w:t xml:space="preserve">(ii) Between a parent company and its wholly owned subsidiary</w:t>
      </w:r>
      <w:r>
        <w:rPr/>
        <w:t xml:space="preserve">.</w:t>
      </w:r>
    </w:p>
    <w:p>
      <w:pPr>
        <w:spacing w:before="0" w:after="0" w:line="408" w:lineRule="exact"/>
        <w:ind w:left="0" w:right="0" w:firstLine="576"/>
        <w:jc w:val="left"/>
      </w:pPr>
      <w:r>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t xml:space="preserve">(a) Put to actual use in any state, territory, or possession of the United States for any purpose;</w:t>
      </w:r>
    </w:p>
    <w:p>
      <w:pPr>
        <w:spacing w:before="0" w:after="0" w:line="408" w:lineRule="exact"/>
        <w:ind w:left="0" w:right="0" w:firstLine="576"/>
        <w:jc w:val="left"/>
      </w:pPr>
      <w:r>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t xml:space="preserve">(3)(a)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t xml:space="preserve">(b) The exemption under this subsection (3)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t xml:space="preserve">(4) Persons claiming an exemption under this section must keep and maintain records for the period required by RCW 82.32.070 establishing their right to the exemption.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2019.</w:t>
      </w:r>
    </w:p>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Approved by the Governor March 14, 2019.</w:t>
      </w:r>
    </w:p>
    <w:p>
      <w:pPr>
        <w:spacing w:before="0" w:after="0" w:line="408" w:lineRule="exact"/>
        <w:ind w:left="0" w:right="0" w:firstLine="576"/>
        <w:jc w:val="left"/>
      </w:pPr>
      <w:r>
        <w:rPr/>
        <w:t xml:space="preserve">Filed in Office of Secretary of State March 15, 2019.</w:t>
      </w:r>
    </w:p>
    <w:sectPr>
      <w:pgNumType w:start="1"/>
      <w:footerReference xmlns:r="http://schemas.openxmlformats.org/officeDocument/2006/relationships" r:id="Re9032fb1d6da43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9775d53a44642" /><Relationship Type="http://schemas.openxmlformats.org/officeDocument/2006/relationships/footer" Target="/word/footer1.xml" Id="Re9032fb1d6da43cd" /></Relationships>
</file>