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5b656f63c243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5591</w:t>
      </w:r>
    </w:p>
    <w:p>
      <w:pPr>
        <w:jc w:val="center"/>
        <w:spacing w:before="480" w:after="0" w:line="240"/>
      </w:pPr>
      <w:r>
        <w:t xml:space="preserve">Chapter </w:t>
      </w:r>
      <w:r>
        <w:rPr/>
        <w:t xml:space="preserve">239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STOLEN VEHICLE CHECK FEE--PREVIOUSLY REGISTERED VEHICLES</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5591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 Schoesler)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previously registered vehicles from the stolen vehicle check fee; amending RCW 46.17.120;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2010 c 161 s 513 are each amended to read as follows:</w:t>
      </w:r>
    </w:p>
    <w:p>
      <w:pPr>
        <w:spacing w:before="0" w:after="0" w:line="408" w:lineRule="exact"/>
        <w:ind w:left="0" w:right="0" w:firstLine="576"/>
        <w:jc w:val="left"/>
      </w:pPr>
      <w:r>
        <w:rPr>
          <w:u w:val="single"/>
        </w:rPr>
        <w:t xml:space="preserve">(1)</w:t>
      </w:r>
      <w:r>
        <w:rPr/>
        <w:t xml:space="preserve"> Before accepting an application for a certificate of title for a vehicle previously registered in any other state or country, the department, county auditor or other agent, or subagent appointed by the director shall require the applicant to pay a fee of fifteen dollars. The fifteen dollar fee must be distributed under RCW 46.68.020.</w:t>
      </w:r>
    </w:p>
    <w:p>
      <w:pPr>
        <w:spacing w:before="0" w:after="0" w:line="408" w:lineRule="exact"/>
        <w:ind w:left="0" w:right="0" w:firstLine="576"/>
        <w:jc w:val="left"/>
      </w:pPr>
      <w:r>
        <w:rPr>
          <w:u w:val="single"/>
        </w:rPr>
        <w:t xml:space="preserve">(2) An applicant is exempt from the fifteen dollar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24,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95814c4fd4c342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4c15fe2e04219" /><Relationship Type="http://schemas.openxmlformats.org/officeDocument/2006/relationships/footer" Target="/word/footer1.xml" Id="R95814c4fd4c342fa" /></Relationships>
</file>