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92eb5f754c4c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5601</w:t>
      </w:r>
    </w:p>
    <w:p>
      <w:pPr>
        <w:jc w:val="center"/>
        <w:spacing w:before="480" w:after="0" w:line="240"/>
      </w:pPr>
      <w:r>
        <w:t xml:space="preserve">Chapter </w:t>
      </w:r>
      <w:r>
        <w:rPr/>
        <w:t xml:space="preserve">240</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HEALTH CARE BENEFIT MANAGERS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1 through 19, which become effective 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5601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11:02 AM with the exception of section 21,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Short, Keiser, Liias, Kuderer, Walsh, Hobbs, King, Warnick, Honeyford, and Conway)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managers; amending RCW 48.02.120, 48.02.220, 42.56.400, 19.340.020, 19.340.040, 19.340.070, 19.340.080, 19.340.090, 19.340.100, and 19.340.110; adding a new section to chapter 48.43 RCW; adding a new chapter to Title 48 RCW; creating new sections; recodifying RCW 19.340.020, 19.340.040, 19.340.050, 19.340.060, 19.340.070, 19.340.080, 19.340.090, 19.340.100, and 19.340.110; repealing RCW 19.340.010, 19.340.030, and 19.365.010;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growth in managed health care systems has shifted substantial authority over health care decisions from providers and patients to health carriers and health care benefit managers. Health care benefit managers acting as intermediaries between carriers, health care providers, and patients exercise broad discretion to affect health care services recommended and delivered by providers and the health care choices of patients. Regularly, these health care benefit managers are making health care decisions on behalf of carriers. However, unlike carriers, health care benefit managers are not currently regulated.</w:t>
      </w:r>
    </w:p>
    <w:p>
      <w:pPr>
        <w:spacing w:before="0" w:after="0" w:line="408" w:lineRule="exact"/>
        <w:ind w:left="0" w:right="0" w:firstLine="576"/>
        <w:jc w:val="left"/>
      </w:pPr>
      <w:r>
        <w:rPr/>
        <w:t xml:space="preserve">(2) Therefore, the legislature finds that it is in the best interest of the public to create a separate chapter in this title for health care benefit managers.</w:t>
      </w:r>
    </w:p>
    <w:p>
      <w:pPr>
        <w:spacing w:before="0" w:after="0" w:line="408" w:lineRule="exact"/>
        <w:ind w:left="0" w:right="0" w:firstLine="576"/>
        <w:jc w:val="left"/>
      </w:pPr>
      <w:r>
        <w:rPr/>
        <w:t xml:space="preserve">(3) The legislature intends to protect and promote the health, safety, and welfare of Washington residents by establishing standards for regulatory oversight of health care benefit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 and</w:t>
      </w:r>
    </w:p>
    <w:p>
      <w:pPr>
        <w:spacing w:before="0" w:after="0" w:line="408" w:lineRule="exact"/>
        <w:ind w:left="0" w:right="0" w:firstLine="576"/>
        <w:jc w:val="left"/>
      </w:pPr>
      <w:r>
        <w:rPr/>
        <w:t xml:space="preserve">(iv)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between the health care benefit manager and a provider, pharmacy, pharmacy services administration organization, or other health care benefit manager, entered into directly or indirectly in support of a contract with a carrier or employee benefits programs, within thirty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concurrently to the health care benefit manager and any carrier to which the inquiry or complaint pertains.</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 </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and contracting carrier;</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must file with the commissioner in the form and manner prescribed by the commissioner every contract and contract amendment between the carrier and any health care benefit manager registered under section 3 of this act, within thirty days following the effective date of the contract or contract amendment.</w:t>
      </w:r>
    </w:p>
    <w:p>
      <w:pPr>
        <w:spacing w:before="0" w:after="0" w:line="408" w:lineRule="exact"/>
        <w:ind w:left="0" w:right="0" w:firstLine="576"/>
        <w:jc w:val="left"/>
      </w:pPr>
      <w:r>
        <w:rPr/>
        <w:t xml:space="preserve">(2) For health plans issued or renewed on or after January 1, 2022, carriers must notify health plan enrollees in writing of each health care benefit manager contracted with the carrier to provide any benefit management services in the administration of the health plan.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carrier indicates that the contract is to be withheld from public inspection, the commissioner must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(4) For purposes of this section, "health care benefit manager"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120</w:t>
      </w:r>
      <w:r>
        <w:rPr/>
        <w:t xml:space="preserve"> and 2011 c 312 s 1 are each amended to read as follows:</w:t>
      </w:r>
    </w:p>
    <w:p>
      <w:pPr>
        <w:spacing w:before="0" w:after="0" w:line="408" w:lineRule="exact"/>
        <w:ind w:left="0" w:right="0" w:firstLine="576"/>
        <w:jc w:val="left"/>
      </w:pPr>
      <w:r>
        <w:rPr/>
        <w:t xml:space="preserve">(1) The commissioner shall preserve in permanent form records of his or her proceedings, hearings, investigations, and examinations, and shall file such records in his or her office.</w:t>
      </w:r>
    </w:p>
    <w:p>
      <w:pPr>
        <w:spacing w:before="0" w:after="0" w:line="408" w:lineRule="exact"/>
        <w:ind w:left="0" w:right="0" w:firstLine="576"/>
        <w:jc w:val="left"/>
      </w:pPr>
      <w:r>
        <w:rPr/>
        <w:t xml:space="preserve">(2) The records of the commissioner and insurance filings in his or her office shall be open to public inspection, except as otherwise provided by </w:t>
      </w:r>
      <w:r>
        <w:rPr>
          <w:u w:val="single"/>
        </w:rPr>
        <w:t xml:space="preserve">sections 4 and 6 of this act and</w:t>
      </w:r>
      <w:r>
        <w:rPr/>
        <w:t xml:space="preserve"> this code.</w:t>
      </w:r>
    </w:p>
    <w:p>
      <w:pPr>
        <w:spacing w:before="0" w:after="0" w:line="408" w:lineRule="exact"/>
        <w:ind w:left="0" w:right="0" w:firstLine="576"/>
        <w:jc w:val="left"/>
      </w:pPr>
      <w:r>
        <w:rPr/>
        <w:t xml:space="preserve">(3) Except as provided in subsection (4) of this section, actuarial formulas, statistics, and assumptions submitted in support of a rate or form filing by an insurer, health care service contractor, or health maintenance organization or submitted to the commissioner upon his or her request shall be withheld from public inspection in order to preserve trade secrets or prevent unfair competition.</w:t>
      </w:r>
    </w:p>
    <w:p>
      <w:pPr>
        <w:spacing w:before="0" w:after="0" w:line="408" w:lineRule="exact"/>
        <w:ind w:left="0" w:right="0" w:firstLine="576"/>
        <w:jc w:val="left"/>
      </w:pPr>
      <w:r>
        <w:rPr/>
        <w:t xml:space="preserve">(4) For individual and small group health benefit plan rate filings submitted on or after July 1, 2011, subsection (3) of this section applies only to the numeric values of each small group rating factor used by a health carrier as authorized by RCW 48.21.045(3)(a), 48.44.023(3)(a), and 48.46.066(3)(a). Subsection (3) of this section may continue to apply for a period of one year from the date a new individual or small group product filing is submitted or until the next rate filing for the product, whichever occurs earlier, if the commissioner determines that the proposed rate filing is for a new product that is distinct and unique from any of the carrier's currently or previously offered health benefit plans. Carriers must make a written request for a product classification as a new product under this subsection and must receive subsequent written approval by the commissioner for this subsection to apply.</w:t>
      </w:r>
    </w:p>
    <w:p>
      <w:pPr>
        <w:spacing w:before="0" w:after="0" w:line="408" w:lineRule="exact"/>
        <w:ind w:left="0" w:right="0" w:firstLine="576"/>
        <w:jc w:val="left"/>
      </w:pPr>
      <w:r>
        <w:rPr/>
        <w:t xml:space="preserve">(5) Unless the commissioner has determined that a filing is for a new product pursuant to subsection (4) of this section, for all individual or small group health benefit rate filings submitted on or after July 1, 2011, the health carrier must submit part I rate increase summary and part II written explanation of the rate increase as set forth by the department of health and human services at the time of filing, and the commissioner must:</w:t>
      </w:r>
    </w:p>
    <w:p>
      <w:pPr>
        <w:spacing w:before="0" w:after="0" w:line="408" w:lineRule="exact"/>
        <w:ind w:left="0" w:right="0" w:firstLine="576"/>
        <w:jc w:val="left"/>
      </w:pPr>
      <w:r>
        <w:rPr/>
        <w:t xml:space="preserve">(a) Make each filing and the part I rate increase summary and part II written explanation of the rate increase available for public inspection on the tenth calendar day after the commissioner determines that the rate filing is complete and accepts the filing for review through the electronic rate and form filing system; and</w:t>
      </w:r>
    </w:p>
    <w:p>
      <w:pPr>
        <w:spacing w:before="0" w:after="0" w:line="408" w:lineRule="exact"/>
        <w:ind w:left="0" w:right="0" w:firstLine="576"/>
        <w:jc w:val="left"/>
      </w:pPr>
      <w:r>
        <w:rPr/>
        <w:t xml:space="preserve">(b) Prepare a standardized rate summary form, to explain his or her findings after the rate review process is completed. The commissioner's summary form must be included as part of the rate filing documentation and available to the public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registration of </w:t>
      </w:r>
      <w:r>
        <w:t>((</w:t>
      </w:r>
      <w:r>
        <w:rPr>
          <w:strike/>
        </w:rPr>
        <w:t xml:space="preserve">pharmacy</w:t>
      </w:r>
      <w:r>
        <w:t>))</w:t>
      </w:r>
      <w:r>
        <w:rPr/>
        <w:t xml:space="preserve"> </w:t>
      </w:r>
      <w:r>
        <w:rPr>
          <w:u w:val="single"/>
        </w:rPr>
        <w:t xml:space="preserve">health care</w:t>
      </w:r>
      <w:r>
        <w:rPr/>
        <w:t xml:space="preserve"> benefit managers as established in </w:t>
      </w:r>
      <w:r>
        <w:t>((</w:t>
      </w:r>
      <w:r>
        <w:rPr>
          <w:strike/>
        </w:rPr>
        <w:t xml:space="preserve">RCW 19.340.030</w:t>
      </w:r>
      <w:r>
        <w:t>))</w:t>
      </w:r>
      <w:r>
        <w:rPr/>
        <w:t xml:space="preserve"> </w:t>
      </w:r>
      <w:r>
        <w:rPr>
          <w:u w:val="single"/>
        </w:rPr>
        <w:t xml:space="preserve">section 3 of this act</w:t>
      </w:r>
      <w:r>
        <w:rPr/>
        <w:t xml:space="preserve">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consistent with requirements established in RCW 19.340.110 </w:t>
      </w:r>
      <w:r>
        <w:rPr>
          <w:u w:val="single"/>
        </w:rPr>
        <w:t xml:space="preserve">(as recodified by this act)</w:t>
      </w:r>
      <w:r>
        <w:rPr/>
        <w:t xml:space="preserve">.</w:t>
      </w:r>
    </w:p>
    <w:p>
      <w:pPr>
        <w:spacing w:before="0" w:after="0" w:line="408" w:lineRule="exact"/>
        <w:ind w:left="0" w:right="0" w:firstLine="576"/>
        <w:jc w:val="left"/>
      </w:pPr>
      <w:r>
        <w:rPr/>
        <w:t xml:space="preserve">(3) The commissioner may adopt rules to implement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and to establish registration and renewal fees that ensure the registration, renewal, and oversight activities are self-supporting.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as it existed prior to repeal by section 2, chapter 7, Laws of 2017 3rd sp. sess., that are submitted to the office of the insurance commissioner by an entity providing health care coverage pursuant to RCW 28A.400.275 as it existed on January 1, 2017, and RCW 48.02.210 as it existed prior to repeal by section 2, chapter 7, Laws of 2017 3rd sp. sess.;</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w:t>
      </w:r>
      <w:r>
        <w:t>((</w:t>
      </w:r>
      <w:r>
        <w:rPr>
          <w:strike/>
        </w:rPr>
        <w:t xml:space="preserve">and</w:t>
      </w:r>
      <w:r>
        <w:t>))</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r>
        <w:rPr>
          <w:u w:val="single"/>
        </w:rPr>
        <w:t xml:space="preserve">; and</w:t>
      </w:r>
    </w:p>
    <w:p>
      <w:pPr>
        <w:spacing w:before="0" w:after="0" w:line="408" w:lineRule="exact"/>
        <w:ind w:left="0" w:right="0" w:firstLine="576"/>
        <w:jc w:val="left"/>
      </w:pPr>
      <w:r>
        <w:rPr>
          <w:u w:val="single"/>
        </w:rPr>
        <w:t xml:space="preserve">(31) Contracts not subject to public disclosure under sections 4 and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and 2014 c 213 s 3 are each amended to read as follows:</w:t>
      </w:r>
    </w:p>
    <w:p>
      <w:pPr>
        <w:spacing w:before="0" w:after="0" w:line="408" w:lineRule="exact"/>
        <w:ind w:left="0" w:right="0" w:firstLine="576"/>
        <w:jc w:val="left"/>
      </w:pPr>
      <w:r>
        <w:t>((</w:t>
      </w:r>
      <w:r>
        <w:rPr>
          <w:strike/>
        </w:rPr>
        <w:t xml:space="preserve">As used in</w:t>
      </w:r>
      <w:r>
        <w:t>))</w:t>
      </w:r>
      <w:r>
        <w:rPr/>
        <w:t xml:space="preserve"> </w:t>
      </w:r>
      <w:r>
        <w:rPr>
          <w:u w:val="single"/>
        </w:rPr>
        <w:t xml:space="preserve">The definitions in this section apply throughout</w:t>
      </w:r>
      <w:r>
        <w:rPr/>
        <w:t xml:space="preserve"> this section and RCW 19.340.040 through </w:t>
      </w:r>
      <w:r>
        <w:t>((</w:t>
      </w:r>
      <w:r>
        <w:rPr>
          <w:strike/>
        </w:rPr>
        <w:t xml:space="preserve">19.340.090:</w:t>
      </w:r>
      <w:r>
        <w:t>))</w:t>
      </w:r>
      <w:r>
        <w:rPr/>
        <w:t xml:space="preserve"> </w:t>
      </w:r>
      <w:r>
        <w:rPr>
          <w:u w:val="single"/>
        </w:rPr>
        <w:t xml:space="preserve">19.340.110 (as recodified by this act)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w:t>
      </w:r>
      <w:r>
        <w:rPr>
          <w:u w:val="single"/>
        </w:rPr>
        <w:t xml:space="preserve">"Claim"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u w:val="single"/>
        </w:rPr>
        <w:t xml:space="preserve">(3)</w:t>
      </w:r>
      <w:r>
        <w:rPr/>
        <w:t xml:space="preserve">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w:t>
      </w:r>
      <w:r>
        <w:rPr>
          <w:u w:val="single"/>
        </w:rPr>
        <w:t xml:space="preserve">,</w:t>
      </w:r>
      <w:r>
        <w:rPr/>
        <w:t xml:space="preserve"> or type of medication, or dispensing a prescription drug to the wrong person.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u w:val="single"/>
        </w:rPr>
        <w:t xml:space="preserve">(6) "Pharmacist" has the same meaning as in RCW 18.64.011.</w:t>
      </w:r>
    </w:p>
    <w:p>
      <w:pPr>
        <w:spacing w:before="0" w:after="0" w:line="408" w:lineRule="exact"/>
        <w:ind w:left="0" w:right="0" w:firstLine="576"/>
        <w:jc w:val="left"/>
      </w:pPr>
      <w:r>
        <w:rPr>
          <w:u w:val="single"/>
        </w:rPr>
        <w:t xml:space="preserve">(7) "Pharmacy" has the same meaning as in RCW 18.64.011.</w:t>
      </w:r>
    </w:p>
    <w:p>
      <w:pPr>
        <w:spacing w:before="0" w:after="0" w:line="408" w:lineRule="exact"/>
        <w:ind w:left="0" w:right="0" w:firstLine="576"/>
        <w:jc w:val="left"/>
      </w:pPr>
      <w:r>
        <w:rPr>
          <w:u w:val="single"/>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040</w:t>
      </w:r>
      <w:r>
        <w:rPr/>
        <w:t xml:space="preserve"> and 2014 c 213 s 4 are each amended to read as follows:</w:t>
      </w:r>
    </w:p>
    <w:p>
      <w:pPr>
        <w:spacing w:before="0" w:after="0" w:line="408" w:lineRule="exact"/>
        <w:ind w:left="0" w:right="0" w:firstLine="576"/>
        <w:jc w:val="left"/>
      </w:pPr>
      <w:r>
        <w:rPr/>
        <w:t xml:space="preserve">An entity that audits claims or an independent third party that contracts with an entity to audit claims:</w:t>
      </w:r>
    </w:p>
    <w:p>
      <w:pPr>
        <w:spacing w:before="0" w:after="0" w:line="408" w:lineRule="exact"/>
        <w:ind w:left="0" w:right="0" w:firstLine="576"/>
        <w:jc w:val="left"/>
      </w:pPr>
      <w:r>
        <w:rPr/>
        <w:t xml:space="preserve">(1) Must establish, in writing, a procedure for a pharmacy to appeal the entity's findings with respect to a claim and must provide a pharmacy with a notice regarding the procedure, in writing or electronically, prior to conducting an audit of the pharmacy's claims;</w:t>
      </w:r>
    </w:p>
    <w:p>
      <w:pPr>
        <w:spacing w:before="0" w:after="0" w:line="408" w:lineRule="exact"/>
        <w:ind w:left="0" w:right="0" w:firstLine="576"/>
        <w:jc w:val="left"/>
      </w:pPr>
      <w:r>
        <w:rPr/>
        <w:t xml:space="preserve">(2) May not conduct an audit of a claim more than twenty-four months after the date the claim was adjudicated by the entity;</w:t>
      </w:r>
    </w:p>
    <w:p>
      <w:pPr>
        <w:spacing w:before="0" w:after="0" w:line="408" w:lineRule="exact"/>
        <w:ind w:left="0" w:right="0" w:firstLine="576"/>
        <w:jc w:val="left"/>
      </w:pPr>
      <w:r>
        <w:rPr/>
        <w:t xml:space="preserve">(3) Must give at least fifteen days' advance written notice of an on-site audit to the pharmacy or corporate headquarters of the pharmacy;</w:t>
      </w:r>
    </w:p>
    <w:p>
      <w:pPr>
        <w:spacing w:before="0" w:after="0" w:line="408" w:lineRule="exact"/>
        <w:ind w:left="0" w:right="0" w:firstLine="576"/>
        <w:jc w:val="left"/>
      </w:pPr>
      <w:r>
        <w:rPr/>
        <w:t xml:space="preserve">(4) May not conduct an on-site audit during the first five days of any month without the pharmacy's consent;</w:t>
      </w:r>
    </w:p>
    <w:p>
      <w:pPr>
        <w:spacing w:before="0" w:after="0" w:line="408" w:lineRule="exact"/>
        <w:ind w:left="0" w:right="0" w:firstLine="576"/>
        <w:jc w:val="left"/>
      </w:pPr>
      <w:r>
        <w:rPr/>
        <w:t xml:space="preserve">(5) Must conduct the audit in consultation with a pharmacist who is licensed by this or another state if the audit involves clinical or professional judgment;</w:t>
      </w:r>
    </w:p>
    <w:p>
      <w:pPr>
        <w:spacing w:before="0" w:after="0" w:line="408" w:lineRule="exact"/>
        <w:ind w:left="0" w:right="0" w:firstLine="576"/>
        <w:jc w:val="left"/>
      </w:pPr>
      <w:r>
        <w:rPr/>
        <w:t xml:space="preserve">(6) May not conduct an on-site audit of more than two hundred fifty unique prescriptions of a pharmacy in any twelve-month period except in cases of alleged fraud;</w:t>
      </w:r>
    </w:p>
    <w:p>
      <w:pPr>
        <w:spacing w:before="0" w:after="0" w:line="408" w:lineRule="exact"/>
        <w:ind w:left="0" w:right="0" w:firstLine="576"/>
        <w:jc w:val="left"/>
      </w:pPr>
      <w:r>
        <w:rPr/>
        <w:t xml:space="preserve">(7) May not conduct more than one on-site audit of a pharmacy in any twelve-month period;</w:t>
      </w:r>
    </w:p>
    <w:p>
      <w:pPr>
        <w:spacing w:before="0" w:after="0" w:line="408" w:lineRule="exact"/>
        <w:ind w:left="0" w:right="0" w:firstLine="576"/>
        <w:jc w:val="left"/>
      </w:pPr>
      <w:r>
        <w:rPr/>
        <w:t xml:space="preserve">(8) Must audit each pharmacy under the same standards and parameters that the entity uses to audit other similarly situated pharmacies;</w:t>
      </w:r>
    </w:p>
    <w:p>
      <w:pPr>
        <w:spacing w:before="0" w:after="0" w:line="408" w:lineRule="exact"/>
        <w:ind w:left="0" w:right="0" w:firstLine="576"/>
        <w:jc w:val="left"/>
      </w:pPr>
      <w:r>
        <w:rPr/>
        <w:t xml:space="preserve">(9) Must pay any outstanding claims of a pharmacy no more than forty-five days after the earlier of the date all appeals are concluded or the date a final report is issued under RCW 19.340.080(3) </w:t>
      </w:r>
      <w:r>
        <w:rPr>
          <w:u w:val="single"/>
        </w:rPr>
        <w:t xml:space="preserve">(as recodified by this act)</w:t>
      </w:r>
      <w:r>
        <w:rPr/>
        <w:t xml:space="preserve">;</w:t>
      </w:r>
    </w:p>
    <w:p>
      <w:pPr>
        <w:spacing w:before="0" w:after="0" w:line="408" w:lineRule="exact"/>
        <w:ind w:left="0" w:right="0" w:firstLine="576"/>
        <w:jc w:val="left"/>
      </w:pPr>
      <w:r>
        <w:rPr/>
        <w:t xml:space="preserve">(10) May not include dispensing fees or interest in the amount of any overpayment assessed on a claim unless the overpaid claim was for a prescription that was not filled correctly;</w:t>
      </w:r>
    </w:p>
    <w:p>
      <w:pPr>
        <w:spacing w:before="0" w:after="0" w:line="408" w:lineRule="exact"/>
        <w:ind w:left="0" w:right="0" w:firstLine="576"/>
        <w:jc w:val="left"/>
      </w:pPr>
      <w:r>
        <w:rPr/>
        <w:t xml:space="preserve">(11) May not recoup costs associated with:</w:t>
      </w:r>
    </w:p>
    <w:p>
      <w:pPr>
        <w:spacing w:before="0" w:after="0" w:line="408" w:lineRule="exact"/>
        <w:ind w:left="0" w:right="0" w:firstLine="576"/>
        <w:jc w:val="left"/>
      </w:pPr>
      <w:r>
        <w:rPr/>
        <w:t xml:space="preserve">(a) Clerical errors; or</w:t>
      </w:r>
    </w:p>
    <w:p>
      <w:pPr>
        <w:spacing w:before="0" w:after="0" w:line="408" w:lineRule="exact"/>
        <w:ind w:left="0" w:right="0" w:firstLine="576"/>
        <w:jc w:val="left"/>
      </w:pPr>
      <w:r>
        <w:rPr/>
        <w:t xml:space="preserve">(b) Other errors that do not result in financial harm to the entity or a consumer; and</w:t>
      </w:r>
    </w:p>
    <w:p>
      <w:pPr>
        <w:spacing w:before="0" w:after="0" w:line="408" w:lineRule="exact"/>
        <w:ind w:left="0" w:right="0" w:firstLine="576"/>
        <w:jc w:val="left"/>
      </w:pPr>
      <w:r>
        <w:rPr/>
        <w:t xml:space="preserve">(12) May not charge a pharmacy for a denied or disputed claim until the audit and the appeals procedure established under subsection (1) of this section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070</w:t>
      </w:r>
      <w:r>
        <w:rPr/>
        <w:t xml:space="preserve"> and 2014 c 213 s 7 are each amended to read as follows:</w:t>
      </w:r>
    </w:p>
    <w:p>
      <w:pPr>
        <w:spacing w:before="0" w:after="0" w:line="408" w:lineRule="exact"/>
        <w:ind w:left="0" w:right="0" w:firstLine="576"/>
        <w:jc w:val="left"/>
      </w:pPr>
      <w:r>
        <w:rPr/>
        <w:t xml:space="preserve">For purposes of RCW 19.340.020 and 19.340.040 through 19.340.090 </w:t>
      </w:r>
      <w:r>
        <w:rPr>
          <w:u w:val="single"/>
        </w:rPr>
        <w:t xml:space="preserve">(as recodified by this act)</w:t>
      </w:r>
      <w:r>
        <w:rPr/>
        <w:t xml:space="preserve">, an entity, or an independent third party that contracts with an entity to conduct audits, must allow as evidence of validation of a claim:</w:t>
      </w:r>
    </w:p>
    <w:p>
      <w:pPr>
        <w:spacing w:before="0" w:after="0" w:line="408" w:lineRule="exact"/>
        <w:ind w:left="0" w:right="0" w:firstLine="576"/>
        <w:jc w:val="left"/>
      </w:pPr>
      <w:r>
        <w:rPr/>
        <w:t xml:space="preserve">(1) An electronic or physical copy of a valid prescription if the prescribed drug was, within fourteen days of the dispensing date:</w:t>
      </w:r>
    </w:p>
    <w:p>
      <w:pPr>
        <w:spacing w:before="0" w:after="0" w:line="408" w:lineRule="exact"/>
        <w:ind w:left="0" w:right="0" w:firstLine="576"/>
        <w:jc w:val="left"/>
      </w:pPr>
      <w:r>
        <w:rPr/>
        <w:t xml:space="preserve">(a) Picked up by the patient or the patient's designee;</w:t>
      </w:r>
    </w:p>
    <w:p>
      <w:pPr>
        <w:spacing w:before="0" w:after="0" w:line="408" w:lineRule="exact"/>
        <w:ind w:left="0" w:right="0" w:firstLine="576"/>
        <w:jc w:val="left"/>
      </w:pPr>
      <w:r>
        <w:rPr/>
        <w:t xml:space="preserve">(b) Delivered by the pharmacy to the patient; or</w:t>
      </w:r>
    </w:p>
    <w:p>
      <w:pPr>
        <w:spacing w:before="0" w:after="0" w:line="408" w:lineRule="exact"/>
        <w:ind w:left="0" w:right="0" w:firstLine="576"/>
        <w:jc w:val="left"/>
      </w:pPr>
      <w:r>
        <w:rPr/>
        <w:t xml:space="preserve">(c) Sent by the pharmacy to the patient using the United States postal service or other common carrier;</w:t>
      </w:r>
    </w:p>
    <w:p>
      <w:pPr>
        <w:spacing w:before="0" w:after="0" w:line="408" w:lineRule="exact"/>
        <w:ind w:left="0" w:right="0" w:firstLine="576"/>
        <w:jc w:val="left"/>
      </w:pPr>
      <w:r>
        <w:rPr/>
        <w:t xml:space="preserve">(2) Point of sale electronic register data showing purchase of the prescribed drug, medical supply, or service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080</w:t>
      </w:r>
      <w:r>
        <w:rPr/>
        <w:t xml:space="preserve"> and 2014 c 213 s 8 are each amended to read as follows:</w:t>
      </w:r>
    </w:p>
    <w:p>
      <w:pPr>
        <w:spacing w:before="0" w:after="0" w:line="408" w:lineRule="exact"/>
        <w:ind w:left="0" w:right="0" w:firstLine="576"/>
        <w:jc w:val="left"/>
      </w:pPr>
      <w:r>
        <w:rPr/>
        <w:t xml:space="preserve">(1)(a) After conducting an audit, an entity must provide the pharmacy that is the subject of the audit with a preliminary report of the audit. The preliminary report must be received by the pharmacy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An entity shall provide a pharmacy receiving a preliminary report under this subsection no fewer than forty-five days after receiving the report to contest the report or any findings in the report in accordance with the appeals procedure established under RCW 19.340.040(1) </w:t>
      </w:r>
      <w:r>
        <w:rPr>
          <w:u w:val="single"/>
        </w:rPr>
        <w:t xml:space="preserve">(as recodified by this act)</w:t>
      </w:r>
      <w:r>
        <w:rPr/>
        <w:t xml:space="preserve"> and </w:t>
      </w:r>
      <w:r>
        <w:t>((</w:t>
      </w:r>
      <w:r>
        <w:rPr>
          <w:strike/>
        </w:rPr>
        <w:t xml:space="preserve">to provide</w:t>
      </w:r>
      <w:r>
        <w:t>))</w:t>
      </w:r>
      <w:r>
        <w:rPr/>
        <w:t xml:space="preserve"> </w:t>
      </w:r>
      <w:r>
        <w:rPr>
          <w:u w:val="single"/>
        </w:rPr>
        <w:t xml:space="preserve">must allow the submission of</w:t>
      </w:r>
      <w:r>
        <w:rPr/>
        <w:t xml:space="preserve"> additional documentation in support of the claim. The entity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entity conducting the audit shall allow the pharmacy to resubmit the claim using any commercially reasonable method, including facsimile, mail, or </w:t>
      </w:r>
      <w:r>
        <w:t>((</w:t>
      </w:r>
      <w:r>
        <w:rPr>
          <w:strike/>
        </w:rPr>
        <w:t xml:space="preserve">electronic 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(3) An entity must provide a pharmacy that is the subject of an audit with a final report of the audit no later than sixty days after the later of the date the preliminary report was received or the date the pharmacy contested the report using the appeals procedure established under RCW 19.340.040(1) </w:t>
      </w:r>
      <w:r>
        <w:rPr>
          <w:u w:val="single"/>
        </w:rPr>
        <w:t xml:space="preserve">(as recodified by this act)</w:t>
      </w:r>
      <w:r>
        <w:rPr/>
        <w:t xml:space="preserve">. The final report must include a final accounting of all moneys to be recovered by the entity.</w:t>
      </w:r>
    </w:p>
    <w:p>
      <w:pPr>
        <w:spacing w:before="0" w:after="0" w:line="408" w:lineRule="exact"/>
        <w:ind w:left="0" w:right="0" w:firstLine="576"/>
        <w:jc w:val="left"/>
      </w:pPr>
      <w:r>
        <w:rPr/>
        <w:t xml:space="preserve">(4) Recoupment of disputed funds from a pharmacy by an entity or repayment of funds to an entity by a pharmacy, unless otherwise agreed to by the entity and the pharmacy, shall occur after the audit and the appeals procedure established under RCW 19.340.040(1) </w:t>
      </w:r>
      <w:r>
        <w:rPr>
          <w:u w:val="single"/>
        </w:rPr>
        <w:t xml:space="preserve">(as recodified by this act)</w:t>
      </w:r>
      <w:r>
        <w:rPr/>
        <w:t xml:space="preserve"> are final. If the identified discrepancy for an individual audit exceeds forty thousand dollars, any future payments to the pharmacy may be withheld by the entity until the audit and the appeals procedure established under RCW 19.340.040(1) </w:t>
      </w:r>
      <w:r>
        <w:rPr>
          <w:u w:val="single"/>
        </w:rPr>
        <w:t xml:space="preserve">(as recodified by this act)</w:t>
      </w:r>
      <w:r>
        <w:rPr/>
        <w:t xml:space="preserve">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090</w:t>
      </w:r>
      <w:r>
        <w:rPr/>
        <w:t xml:space="preserve"> and 2014 c 213 s 9 are each amended to read as follows:</w:t>
      </w:r>
    </w:p>
    <w:p>
      <w:pPr>
        <w:spacing w:before="0" w:after="0" w:line="408" w:lineRule="exact"/>
        <w:ind w:left="0" w:right="0" w:firstLine="576"/>
        <w:jc w:val="left"/>
      </w:pPr>
      <w:r>
        <w:rPr/>
        <w:t xml:space="preserve">RCW 19.340.020 and 19.340.040 through 19.340.090 </w:t>
      </w:r>
      <w:r>
        <w:rPr>
          <w:u w:val="single"/>
        </w:rPr>
        <w:t xml:space="preserve">(as recodified by this act)</w:t>
      </w:r>
      <w:r>
        <w:rPr/>
        <w:t xml:space="preserve"> do not:</w:t>
      </w:r>
    </w:p>
    <w:p>
      <w:pPr>
        <w:spacing w:before="0" w:after="0" w:line="408" w:lineRule="exact"/>
        <w:ind w:left="0" w:right="0" w:firstLine="576"/>
        <w:jc w:val="left"/>
      </w:pPr>
      <w:r>
        <w:rPr/>
        <w:t xml:space="preserve">(1) Preclude an entity from instituting an action for fraud against a pharmacy;</w:t>
      </w:r>
    </w:p>
    <w:p>
      <w:pPr>
        <w:spacing w:before="0" w:after="0" w:line="408" w:lineRule="exact"/>
        <w:ind w:left="0" w:right="0" w:firstLine="576"/>
        <w:jc w:val="left"/>
      </w:pPr>
      <w:r>
        <w:rPr/>
        <w:t xml:space="preserve">(2) Apply to an audit of pharmacy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pharmacy records for prescription drugs paid for by the state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r>
        <w:rPr>
          <w:u w:val="single"/>
        </w:rPr>
        <w:t xml:space="preserve">;</w:t>
      </w:r>
    </w:p>
    <w:p>
      <w:pPr>
        <w:spacing w:before="0" w:after="0" w:line="408" w:lineRule="exact"/>
        <w:ind w:left="0" w:right="0" w:firstLine="576"/>
        <w:jc w:val="left"/>
      </w:pPr>
      <w:r>
        <w:rPr>
          <w:u w:val="single"/>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u w:val="single"/>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u w:val="single"/>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u w:val="single"/>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u w:val="single"/>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u w:val="single"/>
        </w:rPr>
        <w:t xml:space="preserve">(i) The original claim was submitted fraudulently; or</w:t>
      </w:r>
    </w:p>
    <w:p>
      <w:pPr>
        <w:spacing w:before="0" w:after="0" w:line="408" w:lineRule="exact"/>
        <w:ind w:left="0" w:right="0" w:firstLine="576"/>
        <w:jc w:val="left"/>
      </w:pPr>
      <w:r>
        <w:rPr>
          <w:u w:val="single"/>
        </w:rPr>
        <w:t xml:space="preserve">(ii) The denial or reduction is the result of a pharmacy audit conducted in accordance with RCW 19.340.040 (as recodified</w:t>
      </w:r>
      <w:r>
        <w:rPr>
          <w:u w:val="single"/>
        </w:rPr>
        <w:t xml:space="preserve"> by this act)</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t>((</w:t>
      </w:r>
      <w:r>
        <w:rPr>
          <w:strike/>
        </w:rPr>
        <w:t xml:space="preserve">(8) A pharmacy benefit manager shall comply with any requests for information from the commissioner for purposes of the study of the pharmacy chain of supply conducted under section 7, chapter 210, Laws of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110</w:t>
      </w:r>
      <w:r>
        <w:rPr/>
        <w:t xml:space="preserve"> and 2016 c 210 s 2 are each amended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w:t>
      </w:r>
      <w:r>
        <w:rPr>
          <w:u w:val="single"/>
        </w:rPr>
        <w:t xml:space="preserve">(as recodified by this act)</w:t>
      </w:r>
      <w:r>
        <w:rPr/>
        <w:t xml:space="preserve">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w:t>
      </w:r>
      <w:r>
        <w:t xml:space="preserve">19</w:t>
      </w:r>
      <w:r>
        <w:rPr/>
        <w:t xml:space="preserve">.</w:t>
      </w:r>
      <w:r>
        <w:t xml:space="preserve">340</w:t>
      </w:r>
      <w:r>
        <w:rPr/>
        <w:t xml:space="preserve">.</w:t>
      </w:r>
      <w:r>
        <w:t xml:space="preserve">040</w:t>
      </w:r>
      <w:r>
        <w:rPr/>
        <w:t xml:space="preserve">, </w:t>
      </w:r>
      <w:r>
        <w:t xml:space="preserve">19</w:t>
      </w:r>
      <w:r>
        <w:rPr/>
        <w:t xml:space="preserve">.</w:t>
      </w:r>
      <w:r>
        <w:t xml:space="preserve">340</w:t>
      </w:r>
      <w:r>
        <w:rPr/>
        <w:t xml:space="preserve">.</w:t>
      </w:r>
      <w:r>
        <w:t xml:space="preserve">050</w:t>
      </w:r>
      <w:r>
        <w:rPr/>
        <w:t xml:space="preserve">, </w:t>
      </w:r>
      <w:r>
        <w:t xml:space="preserve">19</w:t>
      </w:r>
      <w:r>
        <w:rPr/>
        <w:t xml:space="preserve">.</w:t>
      </w:r>
      <w:r>
        <w:t xml:space="preserve">340</w:t>
      </w:r>
      <w:r>
        <w:rPr/>
        <w:t xml:space="preserve">.</w:t>
      </w:r>
      <w:r>
        <w:t xml:space="preserve">060</w:t>
      </w:r>
      <w:r>
        <w:rPr/>
        <w:t xml:space="preserve">, </w:t>
      </w:r>
      <w:r>
        <w:t xml:space="preserve">19</w:t>
      </w:r>
      <w:r>
        <w:rPr/>
        <w:t xml:space="preserve">.</w:t>
      </w:r>
      <w:r>
        <w:t xml:space="preserve">340</w:t>
      </w:r>
      <w:r>
        <w:rPr/>
        <w:t xml:space="preserve">.</w:t>
      </w:r>
      <w:r>
        <w:t xml:space="preserve">070</w:t>
      </w:r>
      <w:r>
        <w:rPr/>
        <w:t xml:space="preserve">, </w:t>
      </w:r>
      <w:r>
        <w:t xml:space="preserve">19</w:t>
      </w:r>
      <w:r>
        <w:rPr/>
        <w:t xml:space="preserve">.</w:t>
      </w:r>
      <w:r>
        <w:t xml:space="preserve">340</w:t>
      </w:r>
      <w:r>
        <w:rPr/>
        <w:t xml:space="preserve">.</w:t>
      </w:r>
      <w:r>
        <w:t xml:space="preserve">080</w:t>
      </w:r>
      <w:r>
        <w:rPr/>
        <w:t xml:space="preserve">, </w:t>
      </w:r>
      <w:r>
        <w:t xml:space="preserve">19</w:t>
      </w:r>
      <w:r>
        <w:rPr/>
        <w:t xml:space="preserve">.</w:t>
      </w:r>
      <w:r>
        <w:t xml:space="preserve">340</w:t>
      </w:r>
      <w:r>
        <w:rPr/>
        <w:t xml:space="preserve">.</w:t>
      </w:r>
      <w:r>
        <w:t xml:space="preserve">090</w:t>
      </w:r>
      <w:r>
        <w:rPr/>
        <w:t xml:space="preserve">, </w:t>
      </w:r>
      <w:r>
        <w:t xml:space="preserve">19</w:t>
      </w:r>
      <w:r>
        <w:rPr/>
        <w:t xml:space="preserve">.</w:t>
      </w:r>
      <w:r>
        <w:t xml:space="preserve">340</w:t>
      </w:r>
      <w:r>
        <w:rPr/>
        <w:t xml:space="preserve">.</w:t>
      </w:r>
      <w:r>
        <w:t xml:space="preserve">100</w:t>
      </w:r>
      <w:r>
        <w:rPr/>
        <w:t xml:space="preserve">, and </w:t>
      </w:r>
      <w:r>
        <w:t xml:space="preserve">19</w:t>
      </w:r>
      <w:r>
        <w:rPr/>
        <w:t xml:space="preserve">.</w:t>
      </w:r>
      <w:r>
        <w:t xml:space="preserve">340</w:t>
      </w:r>
      <w:r>
        <w:rPr/>
        <w:t xml:space="preserve">.</w:t>
      </w:r>
      <w:r>
        <w:t xml:space="preserve">110</w:t>
      </w:r>
      <w:r>
        <w:rPr/>
        <w:t xml:space="preserve"> are each recodified as sections under a subchapter in chapter 48.---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010</w:t>
      </w:r>
      <w:r>
        <w:rPr/>
        <w:t xml:space="preserve"> (Definitions) and 2016 c 210 s 3 &amp; 2014 c 213 s 1;</w:t>
      </w:r>
    </w:p>
    <w:p>
      <w:pPr>
        <w:spacing w:before="0" w:after="0" w:line="408" w:lineRule="exact"/>
        <w:ind w:left="0" w:right="0" w:firstLine="576"/>
        <w:jc w:val="left"/>
      </w:pPr>
      <w:r>
        <w:t>(2)</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2016 c 210 s 1 &amp; 2014 c 213 s 2; and</w:t>
      </w:r>
    </w:p>
    <w:p>
      <w:pPr>
        <w:spacing w:before="0" w:after="0" w:line="408" w:lineRule="exact"/>
        <w:ind w:left="0" w:right="0" w:firstLine="576"/>
        <w:jc w:val="left"/>
      </w:pPr>
      <w:r>
        <w:t>(3)</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pharmacy contract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pharmacies;</w:t>
      </w:r>
    </w:p>
    <w:p>
      <w:pPr>
        <w:spacing w:before="0" w:after="0" w:line="408" w:lineRule="exact"/>
        <w:ind w:left="0" w:right="0" w:firstLine="576"/>
        <w:jc w:val="left"/>
      </w:pPr>
      <w:r>
        <w:rPr/>
        <w:t xml:space="preserve">(d) A representative from an association representing hospital pharmacies;</w:t>
      </w:r>
    </w:p>
    <w:p>
      <w:pPr>
        <w:spacing w:before="0" w:after="0" w:line="408" w:lineRule="exact"/>
        <w:ind w:left="0" w:right="0" w:firstLine="576"/>
        <w:jc w:val="left"/>
      </w:pPr>
      <w:r>
        <w:rPr/>
        <w:t xml:space="preserve">(e) A representative from a health carrier offering at least one health plan in a commercial market in the state;</w:t>
      </w:r>
    </w:p>
    <w:p>
      <w:pPr>
        <w:spacing w:before="0" w:after="0" w:line="408" w:lineRule="exact"/>
        <w:ind w:left="0" w:right="0" w:firstLine="576"/>
        <w:jc w:val="left"/>
      </w:pPr>
      <w:r>
        <w:rPr/>
        <w:t xml:space="preserve">(f) A representative from a health maintenance organization offering at least one health plan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health care authority on behalf of the public employees' benefits board or the school employees' benefits board;</w:t>
      </w:r>
    </w:p>
    <w:p>
      <w:pPr>
        <w:spacing w:before="0" w:after="0" w:line="408" w:lineRule="exact"/>
        <w:ind w:left="0" w:right="0" w:firstLine="576"/>
        <w:jc w:val="left"/>
      </w:pPr>
      <w:r>
        <w:rPr/>
        <w:t xml:space="preserve">(i) A representative from the health care authority on behalf of the state medicaid program;</w:t>
      </w:r>
    </w:p>
    <w:p>
      <w:pPr>
        <w:spacing w:before="0" w:after="0" w:line="408" w:lineRule="exact"/>
        <w:ind w:left="0" w:right="0" w:firstLine="576"/>
        <w:jc w:val="left"/>
      </w:pPr>
      <w:r>
        <w:rPr/>
        <w:t xml:space="preserve">(j) A representative from a pharmacy benefit manager; and</w:t>
      </w:r>
    </w:p>
    <w:p>
      <w:pPr>
        <w:spacing w:before="0" w:after="0" w:line="408" w:lineRule="exact"/>
        <w:ind w:left="0" w:right="0" w:firstLine="576"/>
        <w:jc w:val="left"/>
      </w:pPr>
      <w:r>
        <w:rPr/>
        <w:t xml:space="preserve">(k) A representative from the office of the insurance commissioner.</w:t>
      </w:r>
    </w:p>
    <w:p>
      <w:pPr>
        <w:spacing w:before="0" w:after="0" w:line="408" w:lineRule="exact"/>
        <w:ind w:left="0" w:right="0" w:firstLine="576"/>
        <w:jc w:val="left"/>
      </w:pPr>
      <w:r>
        <w:rPr/>
        <w:t xml:space="preserve">(2) The work group must also include:</w:t>
      </w:r>
    </w:p>
    <w:p>
      <w:pPr>
        <w:spacing w:before="0" w:after="0" w:line="408" w:lineRule="exact"/>
        <w:ind w:left="0" w:right="0" w:firstLine="576"/>
        <w:jc w:val="left"/>
      </w:pPr>
      <w:r>
        <w:rPr/>
        <w:t xml:space="preserve">(a) One member from each of the two largest caucuses of the house of representatives, appointed by the speaker of the house; and</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pharmacy fee structures in the delivery of pharmacy benefits; and</w:t>
      </w:r>
    </w:p>
    <w:p>
      <w:pPr>
        <w:spacing w:before="0" w:after="0" w:line="408" w:lineRule="exact"/>
        <w:ind w:left="0" w:right="0" w:firstLine="576"/>
        <w:jc w:val="left"/>
      </w:pPr>
      <w:r>
        <w:rPr/>
        <w:t xml:space="preserve">(b) Review the use of performance-based contracts in the delivery of pharmacy benefits and develop recommendations on designs and use of performance-based contracts.</w:t>
      </w:r>
    </w:p>
    <w:p>
      <w:pPr>
        <w:spacing w:before="0" w:after="0" w:line="408" w:lineRule="exact"/>
        <w:ind w:left="0" w:right="0" w:firstLine="576"/>
        <w:jc w:val="left"/>
      </w:pPr>
      <w:r>
        <w:rPr/>
        <w:t xml:space="preserve">(4) Staff support for the work group shall be provided by the office of the insurance commissioner.</w:t>
      </w:r>
    </w:p>
    <w:p>
      <w:pPr>
        <w:spacing w:before="0" w:after="0" w:line="408" w:lineRule="exact"/>
        <w:ind w:left="0" w:right="0" w:firstLine="576"/>
        <w:jc w:val="left"/>
      </w:pPr>
      <w:r>
        <w:rPr/>
        <w:t xml:space="preserve">(5) The work group shall submit a progress report to the governor and the legislature by January 1, 2021, and a final report by September 1, 2021, detailing the current use of performance-based contracts and pharmacy fee structures in the delivery of pharmacy benefits and any recommendations for designs or use of performance-based contracts in the delivery of pharmacy benefits. The final report must include any statutory changes necessary to implement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 with the exception of certain items that were vetoed.</w:t>
      </w:r>
    </w:p>
    <w:p>
      <w:pPr>
        <w:spacing w:before="0" w:after="0" w:line="408" w:lineRule="exact"/>
        <w:ind w:left="0" w:right="0" w:firstLine="576"/>
        <w:jc w:val="left"/>
      </w:pPr>
      <w:r>
        <w:rPr/>
        <w:t xml:space="preserve">Filed in Office of Secretary of State March 31,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21, Second Substitute Senate Bill No. 5601 entitled:</w:t>
      </w:r>
    </w:p>
    <w:p>
      <w:pPr>
        <w:spacing w:before="120" w:after="0" w:line="408" w:lineRule="exact"/>
        <w:ind w:left="0" w:right="0" w:firstLine="576"/>
        <w:jc w:val="left"/>
      </w:pPr>
      <w:r>
        <w:rPr/>
        <w:t xml:space="preserve">"AN ACT Relating to health care benefit managers."</w:t>
      </w:r>
    </w:p>
    <w:p>
      <w:pPr>
        <w:spacing w:before="120" w:after="0" w:line="408" w:lineRule="exact"/>
        <w:ind w:left="0" w:right="0" w:firstLine="0"/>
        <w:jc w:val="left"/>
      </w:pPr>
      <w:r>
        <w:rPr/>
        <w:t xml:space="preserve">This bill requires health care managers to register with the Insurance Commissioner, and it also imposes requirements on health care benefit managers and pharmacy benefit managers. Section 21 of the bill establishes a work group on pharmacy contracts to review fee structures and the use of performance-based contracts. This section was made subject to an appropriation. However, no funding was provided in the budget for this work group.</w:t>
      </w:r>
    </w:p>
    <w:p>
      <w:pPr>
        <w:spacing w:before="120" w:after="0" w:line="408" w:lineRule="exact"/>
        <w:ind w:left="0" w:right="0" w:firstLine="0"/>
        <w:jc w:val="left"/>
      </w:pPr>
      <w:r>
        <w:rPr/>
        <w:t xml:space="preserve">For these reasons I have vetoed Section 21 of Second Substitute Senate Bill No. 5601.</w:t>
      </w:r>
    </w:p>
    <w:p>
      <w:pPr>
        <w:spacing w:before="120" w:after="0" w:line="408" w:lineRule="exact"/>
        <w:ind w:left="0" w:right="0" w:firstLine="0"/>
        <w:jc w:val="left"/>
      </w:pPr>
      <w:r>
        <w:rPr/>
        <w:t xml:space="preserve">With the exception of Section 21, Second Substitute Senate Bill No. 5601 is approved."</w:t>
      </w:r>
    </w:p>
    <w:sectPr>
      <w:pgNumType w:start="1"/>
      <w:footerReference xmlns:r="http://schemas.openxmlformats.org/officeDocument/2006/relationships" r:id="R923c5cdbe8b14d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dd8fe2e994ff3" /><Relationship Type="http://schemas.openxmlformats.org/officeDocument/2006/relationships/footer" Target="/word/footer1.xml" Id="R923c5cdbe8b14dfd" /></Relationships>
</file>