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d3dea71734c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5800</w:t>
      </w:r>
    </w:p>
    <w:p>
      <w:pPr>
        <w:jc w:val="center"/>
        <w:spacing w:before="480" w:after="0" w:line="240"/>
      </w:pPr>
      <w:r>
        <w:t xml:space="preserve">Chapter </w:t>
      </w:r>
      <w:r>
        <w:rPr/>
        <w:t xml:space="preserve">330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HOMELESS COLLEGE STUDENTS--PILOT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30</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57</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Randall, Zeiger, Nguyen, Wilson, C., Saldaña, Carlyle, Keiser, Sheldon, Das,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52c77ffd391744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b149175cc4f44" /><Relationship Type="http://schemas.openxmlformats.org/officeDocument/2006/relationships/footer" Target="/word/footer1.xml" Id="R52c77ffd391744ac" /></Relationships>
</file>