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58ac88f2547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5815</w:t>
      </w:r>
    </w:p>
    <w:p>
      <w:pPr>
        <w:jc w:val="center"/>
        <w:spacing w:before="480" w:after="0" w:line="240"/>
      </w:pPr>
      <w:r>
        <w:t xml:space="preserve">Chapter </w:t>
      </w:r>
      <w:r>
        <w:rPr/>
        <w:t xml:space="preserve">468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JUVENILE CONFINEMENT--COMMUNITY RELEASE--USE OR POSSESSION OF CONTROLLED SUBSTANCE OR ALCOHOL</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84</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Nguyen, Darneille, Wilson, C., Saldaña, Das, Keiser, and Kuderer)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and amending RCW 13.40.205 and 72.05.405.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twelve hours a day if approved by the secretary. Such a release shall not be deemed a leave of absence. </w:t>
      </w:r>
      <w:r>
        <w:rPr>
          <w:u w:val="single"/>
        </w:rPr>
        <w:t xml:space="preserve">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 </w:t>
      </w:r>
      <w:r>
        <w:rPr>
          <w:u w:val="single"/>
        </w:rPr>
        <w:t xml:space="preserve">The department shall adopt and implement rules based on empirically validated best practices to appropriately address offenses involving unlawful use or possession of a controlled substance and unlawful use or possession of alcohol committed by individuals placed in juvenile community facilities.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c5c5d166f3e448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07848bc4c46dc" /><Relationship Type="http://schemas.openxmlformats.org/officeDocument/2006/relationships/footer" Target="/word/footer1.xml" Id="Rc5c5d166f3e4489b" /></Relationships>
</file>