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3ddddd11d48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6048</w:t>
      </w:r>
    </w:p>
    <w:p>
      <w:pPr>
        <w:jc w:val="center"/>
        <w:spacing w:before="480" w:after="0" w:line="240"/>
      </w:pPr>
      <w:r>
        <w:t xml:space="preserve">Chapter </w:t>
      </w:r>
      <w:r>
        <w:rPr/>
        <w:t xml:space="preserve">243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INTERNATIONALLY ACTIVE INSURANCE GROUPS--GROUP-WIDE SUPERVISION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6048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Das, Lovelett, Nguyen, Saldaña, Kuderer, and Wilson, C.; by request of Insurance Commissioner)</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 and</w:t>
      </w:r>
    </w:p>
    <w:p>
      <w:pPr>
        <w:spacing w:before="0" w:after="0" w:line="408" w:lineRule="exact"/>
        <w:ind w:left="0" w:right="0" w:firstLine="576"/>
        <w:jc w:val="left"/>
      </w:pPr>
      <w:r>
        <w:rPr/>
        <w:t xml:space="preserve">(f) Other group-wide supervision activities, consistent with the authorities and purposes of this subsection (5), as considered necessary by the commissioner.</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76fcc8f3f98b46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6b5f80bc04d2a" /><Relationship Type="http://schemas.openxmlformats.org/officeDocument/2006/relationships/footer" Target="/word/footer1.xml" Id="R76fcc8f3f98b46ab" /></Relationships>
</file>