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e39931da24d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6257</w:t>
      </w:r>
    </w:p>
    <w:p>
      <w:pPr>
        <w:jc w:val="center"/>
        <w:spacing w:before="480" w:after="0" w:line="240"/>
      </w:pPr>
      <w:r>
        <w:t xml:space="preserve">Chapter </w:t>
      </w:r>
      <w:r>
        <w:rPr/>
        <w:t xml:space="preserve">156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UNDERGROUND STORAGE TANK REINSURANCE--EMERGENCY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and Short;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u w:val="single"/>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may implement an emergency program, as designed under RCW 70.148.050.</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f83a4ebc352940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81c32cfe440a7" /><Relationship Type="http://schemas.openxmlformats.org/officeDocument/2006/relationships/footer" Target="/word/footer1.xml" Id="Rf83a4ebc3529408a" /></Relationships>
</file>