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9715ca9ea4b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6313</w:t>
      </w:r>
    </w:p>
    <w:p>
      <w:pPr>
        <w:jc w:val="center"/>
        <w:spacing w:before="480" w:after="0" w:line="240"/>
      </w:pPr>
      <w:r>
        <w:t xml:space="preserve">Chapter </w:t>
      </w:r>
      <w:r>
        <w:rPr/>
        <w:t xml:space="preserve">208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YOUNG VOTERS--VARIOUS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3, 5, 6, and 13 through 17, which become effective January 1, 2022; and sections 7, 8, 18, 20, and 21, which become effective September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6313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6313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Kuderer, Hunt, Randall, Mullet, Keiser, Billig, Saldaña, Darneille, Hasegawa, Takko, Rolfes, McCoy, Stanford, Das, Dhingra, Lovelett, Nguyen, and Wilson, C.</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young voters; amending RCW 29A.08.210, 29A.08.230, 29A.08.330, 29A.08.810, 29A.08.355, 46.20.155, 28A.230.094, 29A.32.031, 29A.32.241, 29A.04.061, 29A.08.110, 29A.08.170, 29A.08.172, 29A.08.174, 29A.08.359, 29A.80.041, 29A.84.140, 46.20.156, and 29A.08.140; adding a new section to chapter 29A.40 RCW;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nonpartisan student engagement hub on its campus. The student engagement hub may be open during business hours beginning eight days before, and ending at 8:00 p.m. on the day of, the general election. All student engagement hubs must allow students to download their exact ballot from an online portal.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 and ballots.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 and must be operated in a manner that avoids partisan influence or electioneering.</w:t>
      </w:r>
    </w:p>
    <w:p>
      <w:pPr>
        <w:spacing w:before="24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student engagement hubs as designated under section 10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student engagement hubs in the county as designated under section 10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2009 c 106 s 3 are each amended to read as follows:</w:t>
      </w:r>
    </w:p>
    <w:p>
      <w:pPr>
        <w:spacing w:before="0" w:after="0" w:line="408" w:lineRule="exact"/>
        <w:ind w:left="0" w:right="0" w:firstLine="576"/>
        <w:jc w:val="left"/>
      </w:pPr>
      <w:r>
        <w:rPr/>
        <w:t xml:space="preserve">Any member of a major political party who is a registered voter in the precinct </w:t>
      </w:r>
      <w:r>
        <w:rPr>
          <w:u w:val="single"/>
        </w:rPr>
        <w:t xml:space="preserve">and who will be at least eighteen years old by the
date of the precinct committee officer election</w:t>
      </w:r>
      <w:r>
        <w:rP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hub,</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to implement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13 through 17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18, 20, and 21 of this act take effect September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5f6376c1926d48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0dd0b46ec4eeb" /><Relationship Type="http://schemas.openxmlformats.org/officeDocument/2006/relationships/footer" Target="/word/footer1.xml" Id="R5f6376c1926d481b" /></Relationships>
</file>