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38f2e6a8849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6592</w:t>
      </w:r>
    </w:p>
    <w:p>
      <w:pPr>
        <w:jc w:val="center"/>
        <w:spacing w:before="480" w:after="0" w:line="240"/>
      </w:pPr>
      <w:r>
        <w:t xml:space="preserve">Chapter </w:t>
      </w:r>
      <w:r>
        <w:rPr/>
        <w:t xml:space="preserve">215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TOURISM AUTHORITIES--VARIOUS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Holy, Hunt, Takko, and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authorities; amending RCW 35.101.010 and 35.101.130; adding new sections to chapter 35.101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at least fifty miles away one way by driving distance from the person's place of residence or business for the day or stays overnight. However, island communities without land access are exempt from the mileage requirement under this subsection (5)(b); or</w:t>
      </w:r>
    </w:p>
    <w:p>
      <w:pPr>
        <w:spacing w:before="0" w:after="0" w:line="408" w:lineRule="exact"/>
        <w:ind w:left="0" w:right="0" w:firstLine="576"/>
        <w:jc w:val="left"/>
      </w:pPr>
      <w:r>
        <w:rPr>
          <w:u w:val="single"/>
        </w:rPr>
        <w:t xml:space="preserve">(c) To another country or state outside of the person's place of residence or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In addition to the two dollar charge authorized by RCW 35.101.050, a legislative authority may impose an additional charge of up to three dollars per night of stay on the furnishing of lodging by a lodging business located in the area. To impose the additional charge, signatures of the persons who operate lodging businesses who would pay sixty percent or more of the proposed charges must be provided together with the proposed uses and projects to which the proposed revenue from the additional charge shall be put, the total estimate costs, and the estimated rate for the charge with a proposed breakdown by class of lodging business if such classification is to be used.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If a majority of those lodging businesses assessed the charges imposed under RCW 35.101.050 or section 2 of this act petition in writing to the legislative authority that the charge be removed, the legislative authority must remove the charge. The legislative authority may determine the timing of when to remove the charge so that the effective date of the expiration of the charge will not adversely impact existing contractual obligations not to exceed twelve months. The legislative authority may not be held liable for any financial obligations, contractual obligations, or damages for removing the charge.</w:t>
      </w:r>
    </w:p>
    <w:p>
      <w:pPr>
        <w:spacing w:before="0" w:after="0" w:line="408" w:lineRule="exact"/>
        <w:ind w:left="0" w:right="0" w:firstLine="576"/>
        <w:jc w:val="left"/>
      </w:pPr>
      <w:r>
        <w:rPr>
          <w:u w:val="single"/>
        </w:rPr>
        <w:t xml:space="preserve">(4) Any legislative authority with a charge in place under RCW 35.101.050 as of January 1, 2020, shall not have the charge be amended as provided under subsection (3) of this section unless the legislative authority has adopted an increase to the charge as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tourism promotion area must conduct a program review of the additional tourism promotion area charge established in section 2 of this act. The review must be completed and submitted to the appropriate committees of the legislature by January 1, 2026. The review must:</w:t>
      </w:r>
    </w:p>
    <w:p>
      <w:pPr>
        <w:spacing w:before="0" w:after="0" w:line="408" w:lineRule="exact"/>
        <w:ind w:left="0" w:right="0" w:firstLine="576"/>
        <w:jc w:val="left"/>
      </w:pPr>
      <w:r>
        <w:rPr/>
        <w:t xml:space="preserve">(1) Analyze how tourism promotion area charge funds were used during the period when the additional charge was imposed;</w:t>
      </w:r>
    </w:p>
    <w:p>
      <w:pPr>
        <w:spacing w:before="0" w:after="0" w:line="408" w:lineRule="exact"/>
        <w:ind w:left="0" w:right="0" w:firstLine="576"/>
        <w:jc w:val="left"/>
      </w:pPr>
      <w:r>
        <w:rPr/>
        <w:t xml:space="preserve">(2) Identify additional marketing and promotional measures conducted or purchased with additional funds beyond the current two dollar charge;</w:t>
      </w:r>
    </w:p>
    <w:p>
      <w:pPr>
        <w:spacing w:before="0" w:after="0" w:line="408" w:lineRule="exact"/>
        <w:ind w:left="0" w:right="0" w:firstLine="576"/>
        <w:jc w:val="left"/>
      </w:pPr>
      <w:r>
        <w:rPr/>
        <w:t xml:space="preserve">(3) Assess whether additional tourism promotion area charges above two dollars contributed to an actual increase in the number of tourists, as defined in RCW 35.101.010; and</w:t>
      </w:r>
    </w:p>
    <w:p>
      <w:pPr>
        <w:spacing w:before="0" w:after="0" w:line="408" w:lineRule="exact"/>
        <w:ind w:left="0" w:right="0" w:firstLine="576"/>
        <w:jc w:val="left"/>
      </w:pPr>
      <w:r>
        <w:rPr/>
        <w:t xml:space="preserve">(4) Assess the average additional cost per visit per tourist due to additional tourism promotion area charges above two dollars.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b9272aad223e4d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f342344014f56" /><Relationship Type="http://schemas.openxmlformats.org/officeDocument/2006/relationships/footer" Target="/word/footer1.xml" Id="Rb9272aad223e4d5a" /></Relationships>
</file>