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1838ff4fda345f7" /></Relationships>
</file>

<file path=word/document.xml><?xml version="1.0" encoding="utf-8"?>
<w:document xmlns:w="http://schemas.openxmlformats.org/wordprocessingml/2006/main">
  <w:body>
    <w:p>
      <w:r>
        <w:rPr>
          <w:b/>
        </w:rPr>
        <w:r>
          <w:rPr/>
          <w:t xml:space="preserve">1091-S3</w:t>
        </w:r>
      </w:r>
      <w:r>
        <w:rPr>
          <w:b/>
        </w:rPr>
        <w:t xml:space="preserve"> </w:t>
        <w:t xml:space="preserve">AMH</w:t>
      </w:r>
      <w:r>
        <w:rPr>
          <w:b/>
        </w:rPr>
        <w:t xml:space="preserve"> </w:t>
        <w:r>
          <w:rPr/>
          <w:t xml:space="preserve">ABBA</w:t>
        </w:r>
      </w:r>
      <w:r>
        <w:rPr>
          <w:b/>
        </w:rPr>
        <w:t xml:space="preserve"> </w:t>
        <w:r>
          <w:rPr/>
          <w:t xml:space="preserve">H1137.1</w:t>
        </w:r>
      </w:r>
      <w:r>
        <w:rPr>
          <w:b/>
        </w:rPr>
        <w:t xml:space="preserve"> - NOT FOR FLOOR USE</w:t>
      </w:r>
    </w:p>
    <w:p>
      <w:pPr>
        <w:ind w:left="0" w:right="0" w:firstLine="576"/>
      </w:pPr>
    </w:p>
    <w:p>
      <w:pPr>
        <w:spacing w:before="480" w:after="0" w:line="408" w:lineRule="exact"/>
      </w:pPr>
      <w:r>
        <w:rPr>
          <w:b/>
          <w:u w:val="single"/>
        </w:rPr>
        <w:t xml:space="preserve">3SHB 1091</w:t>
      </w:r>
      <w:r>
        <w:t xml:space="preserve"> -</w:t>
      </w:r>
      <w:r>
        <w:t xml:space="preserve"> </w:t>
        <w:t xml:space="preserve">H AMD</w:t>
      </w:r>
      <w:r>
        <w:t xml:space="preserve"> </w:t>
      </w:r>
      <w:r>
        <w:rPr>
          <w:b/>
        </w:rPr>
        <w:t xml:space="preserve">180</w:t>
      </w:r>
    </w:p>
    <w:p>
      <w:pPr>
        <w:spacing w:before="0" w:after="0" w:line="408" w:lineRule="exact"/>
        <w:ind w:left="0" w:right="0" w:firstLine="576"/>
        <w:jc w:val="left"/>
      </w:pPr>
      <w:r>
        <w:rPr/>
        <w:t xml:space="preserve">By Representative Abbarno</w:t>
      </w:r>
    </w:p>
    <w:p>
      <w:pPr>
        <w:jc w:val="right"/>
      </w:pPr>
      <w:r>
        <w:rPr>
          <w:b/>
        </w:rPr>
        <w:t xml:space="preserve">WITHDRAWN 02/27/2021</w:t>
      </w:r>
    </w:p>
    <w:p>
      <w:pPr>
        <w:spacing w:before="0" w:after="0" w:line="408" w:lineRule="exact"/>
        <w:ind w:left="0" w:right="0" w:firstLine="576"/>
        <w:jc w:val="left"/>
      </w:pPr>
      <w:r>
        <w:rPr/>
        <w:t xml:space="preserve">On page 10, line 36, after "may" insert "not"</w:t>
      </w:r>
    </w:p>
    <w:p>
      <w:pPr>
        <w:spacing w:before="0" w:after="0" w:line="408" w:lineRule="exact"/>
        <w:ind w:left="0" w:right="0" w:firstLine="576"/>
        <w:jc w:val="left"/>
      </w:pPr>
      <w:r>
        <w:rPr/>
        <w:t xml:space="preserve">Beginning on page 10, line 39, after "section." strike all material through "viable." on page 11, line 3</w:t>
      </w:r>
    </w:p>
    <w:p>
      <w:pPr>
        <w:spacing w:before="0" w:after="0" w:line="408" w:lineRule="exact"/>
        <w:ind w:left="0" w:right="0" w:firstLine="576"/>
        <w:jc w:val="left"/>
      </w:pPr>
      <w:r>
        <w:rPr>
          <w:u w:val="single"/>
        </w:rPr>
        <w:t xml:space="preserve">EFFECT:</w:t>
      </w:r>
      <w:r>
        <w:rPr/>
        <w:t xml:space="preserve"> Prohibits, rather than allows, the Department of Ecology to establish limits for the number of Clean Fuels Program credits that may be earned each year associated with the provision of zero emission vehicle refueling infrastructure, carbon capture and sequestration projects, the fueling of zero emission vehicles by commercial entities, or the use of smart charging technology that results in the fueling of electric vehicles during times of comparatively low electric grid carbon intensity.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3d3b153b20040a9" /></Relationships>
</file>