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dc36ec659e41a5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1091-S3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KLIC</w:t>
        </w:r>
      </w:r>
      <w:r>
        <w:rPr>
          <w:b/>
        </w:rPr>
        <w:t xml:space="preserve"> </w:t>
        <w:r>
          <w:rPr/>
          <w:t xml:space="preserve">H1147.1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3SHB 1091</w:t>
      </w:r>
      <w:r>
        <w:t xml:space="preserve"> -</w:t>
      </w:r>
      <w:r>
        <w:t xml:space="preserve"> </w:t>
        <w:t xml:space="preserve">H AMD</w:t>
      </w:r>
      <w:r>
        <w:t xml:space="preserve"> </w:t>
      </w:r>
      <w:r>
        <w:rPr>
          <w:b/>
        </w:rPr>
        <w:t xml:space="preserve">179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Klicker</w:t>
      </w:r>
    </w:p>
    <w:p>
      <w:pPr>
        <w:jc w:val="right"/>
      </w:pPr>
      <w:r>
        <w:rPr>
          <w:b/>
        </w:rPr>
        <w:t xml:space="preserve">NOT ADOPTED 02/27/2021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10, line 36, after "(3)" insert "The rules adopted by the department under sections 3 and 4 of this act must allow the generation of credits from the transportation of agricultural products by barge in Washington.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(4)"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Requires the Department of Ecology's Clean Fuels Program rules to allow the generation of credits from the transportation of agricultural products by barge in Washington.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d841d6cd7a4078" /></Relationships>
</file>