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f75f93af14c60" /></Relationships>
</file>

<file path=word/document.xml><?xml version="1.0" encoding="utf-8"?>
<w:document xmlns:w="http://schemas.openxmlformats.org/wordprocessingml/2006/main">
  <w:body>
    <w:p>
      <w:r>
        <w:rPr>
          <w:b/>
        </w:rPr>
        <w:r>
          <w:rPr/>
          <w:t xml:space="preserve">1241-S</w:t>
        </w:r>
      </w:r>
      <w:r>
        <w:rPr>
          <w:b/>
        </w:rPr>
        <w:t xml:space="preserve"> </w:t>
        <w:t xml:space="preserve">AMH</w:t>
      </w:r>
      <w:r>
        <w:rPr>
          <w:b/>
        </w:rPr>
        <w:t xml:space="preserve"> </w:t>
        <w:r>
          <w:rPr/>
          <w:t xml:space="preserve">DUER</w:t>
        </w:r>
      </w:r>
      <w:r>
        <w:rPr>
          <w:b/>
        </w:rPr>
        <w:t xml:space="preserve"> </w:t>
        <w:r>
          <w:rPr/>
          <w:t xml:space="preserve">H1226.1</w:t>
        </w:r>
      </w:r>
      <w:r>
        <w:rPr>
          <w:b/>
        </w:rPr>
        <w:t xml:space="preserve"> - NOT FOR FLOOR USE</w:t>
      </w:r>
    </w:p>
    <w:p>
      <w:pPr>
        <w:ind w:left="0" w:right="0" w:firstLine="576"/>
      </w:pPr>
    </w:p>
    <w:p>
      <w:pPr>
        <w:spacing w:before="480" w:after="0" w:line="408" w:lineRule="exact"/>
      </w:pPr>
      <w:r>
        <w:rPr>
          <w:b/>
          <w:u w:val="single"/>
        </w:rPr>
        <w:t xml:space="preserve">SHB 1241</w:t>
      </w:r>
      <w:r>
        <w:t xml:space="preserve"> -</w:t>
      </w:r>
      <w:r>
        <w:t xml:space="preserve"> </w:t>
        <w:t xml:space="preserve">H AMD</w:t>
      </w:r>
      <w:r>
        <w:t xml:space="preserve"> </w:t>
      </w:r>
      <w:r>
        <w:rPr>
          <w:b/>
        </w:rPr>
        <w:t xml:space="preserve">414</w:t>
      </w:r>
    </w:p>
    <w:p>
      <w:pPr>
        <w:spacing w:before="0" w:after="0" w:line="408" w:lineRule="exact"/>
        <w:ind w:left="0" w:right="0" w:firstLine="576"/>
        <w:jc w:val="left"/>
      </w:pPr>
      <w:r>
        <w:rPr/>
        <w:t xml:space="preserve">By Representative Duerr</w:t>
      </w:r>
    </w:p>
    <w:p>
      <w:pPr>
        <w:jc w:val="right"/>
      </w:pPr>
      <w:r>
        <w:rPr>
          <w:b/>
        </w:rPr>
        <w:t xml:space="preserve">ADOPTED AS AMENDED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meet either criteria of (a)(i) or (ii) of this subsection, and cities with a population of more than 6,000 as of January 1, 2021, within those counties, must provide to the department an implementation progress report detailing the progress they have achieved in implementing their comprehensive plan five years after the review and revision of their comprehensive plan. This implementation progress report requirement applies only to counties that meet either of the following criteria on or after January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ten</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ten</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provided, that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tribe whose reservation or ceded lands lie within the county, which indicates the tribe has a planning process or intends to initiate a parallel planning process, the county, cities and other local governments conducting the planning under this chapter shall enter into a memorandum of agreement with such tribes in regard to collaboration and participation in the planning process.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subject to a memorandum of agreement adopted in accordance with (a) of this subsection,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Container port elements. When including container port elements, a city shall collaborate with the federally recognized Indian tribe whose reservation is located within or adjacent to the lands subject to the container port element</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36.70A.040(8)(a).</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A federally recognized Indian tribe may formally request the department to enter into formal government-to-government consultation with the tribe regarding the tribe's concerns that the proposed plan or any amendment to the county's or city's plan may directly or indirectly injure rights reserved to the tribe under treaties, statutes, or federal trust obligations regarding lands or activities within the reservation of such tribe or rights reserved to the tribe in regard to lands ceded under a treaty. Upon receipt of a formal request to enter into formal government-to-government consultation from a tribe, the department shall enter into formal government-to-government consultation with the tribe for a period not to exceed 60 days. The department shall also notify the city or county of the request and 60-day period and the county or city shall delay any final action adopting any plan or amendment during that period. A county or city must not be penalized for noncompliance under this chapter due to any delays associated with the government-to-government consultation process. When the government-to-government consultation process is complete, the department shall provide comments to the county or city including a summary and supporting materials regarding the tribe's concerns and an offer to assist in providing formal mediation or dispute resolution prior to adoption of the proposed plan. Upon receipt of such notice and comments, the county or city may either agree to amend the plan as requested consistent with the comments of the department, or enter mediation with the tribe, which shall be arranged by the department utilizing a suitable expert to be paid by the department.</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annual work program requirements.</w:t>
      </w:r>
    </w:p>
    <w:p>
      <w:pPr>
        <w:spacing w:before="0" w:after="0" w:line="408" w:lineRule="exact"/>
        <w:ind w:left="0" w:right="0" w:firstLine="576"/>
        <w:jc w:val="left"/>
      </w:pPr>
      <w:r>
        <w:rPr/>
        <w:t xml:space="preserve">(2) Limits implementation progress report requirements to counties that on or after January 1, 2021, have either: (a) A population density of at least 100 people per square mile and a population of at least 200,000; or (b) a population density of at least 75 people per square mile and an annual growth rate of at least 1.75 percent as determined by the office of financial management, and to cities within such counties with a population of more than 6,000 as of January 1, 2021.</w:t>
      </w:r>
    </w:p>
    <w:p>
      <w:pPr>
        <w:spacing w:before="0" w:after="0" w:line="408" w:lineRule="exact"/>
        <w:ind w:left="0" w:right="0" w:firstLine="576"/>
        <w:jc w:val="left"/>
      </w:pPr>
      <w:r>
        <w:rPr/>
        <w:t xml:space="preserve">(3) Limits the topics required to be covered in the implementation progress report to: (a) The implementation of changes adopted to the housing element; (b) permit processing timelines; and (c) progress toward implementing any actions required to achieve reductions to meet greenhouse gas and vehicle miles traveled reduction requirements as provided for in any element of the comprehensive plan.</w:t>
      </w:r>
    </w:p>
    <w:p>
      <w:pPr>
        <w:spacing w:before="0" w:after="0" w:line="408" w:lineRule="exact"/>
        <w:ind w:left="0" w:right="0" w:firstLine="576"/>
        <w:jc w:val="left"/>
      </w:pPr>
      <w:r>
        <w:rPr/>
        <w:t xml:space="preserve">(4) Requires cities and counties providing an implementation progress report to identify regulations, zoning and land use changes, and legislative and administrative actions necessary to implement changes made in the most recent comprehensive plan update that have not been made by the time the implementation progress report is due, and requires cities and counties to adopt a work plan for implementing those changes and for completing all work necessary for implementation within two years of the implementation progress report.</w:t>
      </w:r>
    </w:p>
    <w:p>
      <w:pPr>
        <w:spacing w:before="0" w:after="0" w:line="408" w:lineRule="exact"/>
        <w:ind w:left="0" w:right="0" w:firstLine="576"/>
        <w:jc w:val="left"/>
      </w:pPr>
      <w:r>
        <w:rPr/>
        <w:t xml:space="preserve">(5) Removes language that limited certain provisions to apply only to federally recognized Indian tribes that have a reservation located within Washington or that have reserved treaty rights in the state, with these provisions instead referring to federally recognized Indian tribes generally.</w:t>
      </w:r>
    </w:p>
    <w:p>
      <w:pPr>
        <w:spacing w:before="0" w:after="0" w:line="408" w:lineRule="exact"/>
        <w:ind w:left="0" w:right="0" w:firstLine="576"/>
        <w:jc w:val="left"/>
      </w:pPr>
      <w:r>
        <w:rPr/>
        <w:t xml:space="preserve">(6) Provides that nothing in the act affects, alters, or limits a local government's authority to adopt and amend comprehensive land use plans and development regulations in accordance with the Growth Management Act.</w:t>
      </w:r>
    </w:p>
    <w:p>
      <w:pPr>
        <w:spacing w:before="0" w:after="0" w:line="408" w:lineRule="exact"/>
        <w:ind w:left="0" w:right="0" w:firstLine="576"/>
        <w:jc w:val="left"/>
      </w:pPr>
      <w:r>
        <w:rPr/>
        <w:t xml:space="preserve">(7) Prohibits a county or city from taking a final action on an update or amendment to a comprehensive plan if the Department of Commerce is conducting government-to-government consultation with a federally recognized tribe over the tribe's concerns that the proposed plan or amendment will injure the tribe's rights, and provides that the county or city cannot be penalized for any resulting delay in adopting an update or amendment.</w:t>
      </w:r>
    </w:p>
    <w:p>
      <w:pPr>
        <w:spacing w:before="0" w:after="0" w:line="408" w:lineRule="exact"/>
        <w:ind w:left="0" w:right="0" w:firstLine="576"/>
        <w:jc w:val="left"/>
      </w:pPr>
      <w:r>
        <w:rPr/>
        <w:t xml:space="preserve">(8) Removes provisions related to a tribe's objections to an adopted comprehensive plan or amendment.</w:t>
      </w:r>
    </w:p>
    <w:p>
      <w:pPr>
        <w:spacing w:before="0" w:after="0" w:line="408" w:lineRule="exact"/>
        <w:ind w:left="0" w:right="0" w:firstLine="576"/>
        <w:jc w:val="left"/>
      </w:pPr>
      <w:r>
        <w:rPr/>
        <w:t xml:space="preserve">(9) Limits the tribes that must be invited to participate in the countywide planning policy process to federally recognized tribes whose reservation or ceded lands lie within the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ccc065dc14d98" /></Relationships>
</file>